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20" w:before="0"/>
      </w:pPr>
      <w:r>
        <w:rPr>
          <w:rFonts w:ascii="Arial" w:cs="Arial" w:eastAsia="Arial" w:hAnsi="Arial"/>
          <w:b/>
          <w:bCs/>
          <w:color w:val="E87722"/>
          <w:spacing w:val="60"/>
          <w:sz w:val="18"/>
          <w:szCs w:val="18"/>
        </w:rPr>
        <w:t xml:space="preserve">COOPERATIVE HERITAGE  •  MEMBER EDUCATION</w:t>
      </w:r>
    </w:p>
    <w:p>
      <w:pPr>
        <w:pStyle w:val="Heading1"/>
        <w:spacing w:after="80" w:before="0"/>
      </w:pPr>
      <w:r>
        <w:rPr>
          <w:rFonts w:ascii="Arial" w:cs="Arial" w:eastAsia="Arial" w:hAnsi="Arial"/>
          <w:b/>
          <w:bCs/>
          <w:color w:val="1A2E5A"/>
          <w:sz w:val="44"/>
          <w:szCs w:val="44"/>
        </w:rPr>
        <w:t xml:space="preserve">From £28 to One Billion People:</w:t>
      </w:r>
    </w:p>
    <w:p>
      <w:pPr>
        <w:pStyle w:val="Heading1"/>
        <w:spacing w:after="280" w:before="0"/>
      </w:pPr>
      <w:r>
        <w:rPr>
          <w:rFonts w:ascii="Arial" w:cs="Arial" w:eastAsia="Arial" w:hAnsi="Arial"/>
          <w:b/>
          <w:bCs/>
          <w:color w:val="E87722"/>
          <w:sz w:val="44"/>
          <w:szCs w:val="44"/>
        </w:rPr>
        <w:t xml:space="preserve">The Cooperative Story That Shapes GTCS Today</w:t>
      </w:r>
    </w:p>
    <w:p>
      <w:pPr>
        <w:pBdr>
          <w:bottom w:val="single" w:color="1A2E5A" w:sz="8" w:space="1"/>
        </w:pBdr>
        <w:spacing w:after="240" w:before="0"/>
      </w:pPr>
      <w:r>
        <w:t xml:space="preserve"/>
      </w:r>
    </w:p>
    <w:p>
      <w:pPr>
        <w:spacing w:after="200" w:before="0"/>
        <w:jc w:val="both"/>
      </w:pPr>
      <w:r>
        <w:rPr>
          <w:rFonts w:ascii="Georgia" w:cs="Georgia" w:eastAsia="Georgia" w:hAnsi="Georgia"/>
          <w:color w:val="2C3E6B"/>
          <w:sz w:val="24"/>
          <w:szCs w:val="24"/>
        </w:rPr>
        <w:t xml:space="preserve">In the winter of 1844, twenty-eight weavers and artisans in a mill town in northern England did something that would quietly reshape the global economy. They did not have venture capital. They did not have government backing. They had £28 — one pound each — and a conviction that ordinary people, working together, could build something that served them rather than exploited them.</w:t>
      </w:r>
    </w:p>
    <w:p>
      <w:pPr>
        <w:spacing w:after="200" w:before="0"/>
        <w:jc w:val="both"/>
      </w:pPr>
      <w:r>
        <w:rPr>
          <w:rFonts w:ascii="Georgia" w:cs="Georgia" w:eastAsia="Georgia" w:hAnsi="Georgia"/>
          <w:color w:val="2C3E6B"/>
          <w:sz w:val="24"/>
          <w:szCs w:val="24"/>
        </w:rPr>
        <w:t xml:space="preserve">That conviction became the Rochdale Society of Equitable Pioneers — the world’s first successful modern cooperative. And the principles those twenty-eight workers hammered out in a small store on Toad Lane are the same principles that undergird GTCS today.</w:t>
      </w:r>
    </w:p>
    <w:p>
      <w:pPr>
        <w:spacing w:after="80" w:before="0"/>
      </w:pPr>
      <w:r>
        <w:t xml:space="preserve"/>
      </w:r>
    </w:p>
    <w:p>
      <w:pPr>
        <w:spacing w:after="60" w:before="160"/>
        <w:jc w:val="center"/>
      </w:pPr>
      <w:r>
        <w:drawing>
          <wp:inline distT="0" distB="0" distL="0" distR="0">
            <wp:extent cx="5524500" cy="31051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5524500" cy="3105150"/>
                    </a:xfrm>
                    <a:prstGeom prst="rect">
                      <a:avLst/>
                    </a:prstGeom>
                  </pic:spPr>
                </pic:pic>
              </a:graphicData>
            </a:graphic>
          </wp:inline>
        </w:drawing>
      </w:r>
    </w:p>
    <w:p>
      <w:pPr>
        <w:pStyle w:val="Caption"/>
        <w:spacing w:after="220" w:before="0"/>
      </w:pPr>
      <w:r>
        <w:rPr>
          <w:rFonts w:ascii="Arial" w:cs="Arial" w:eastAsia="Arial" w:hAnsi="Arial"/>
          <w:i/>
          <w:iCs/>
          <w:color w:val="444444"/>
          <w:sz w:val="18"/>
          <w:szCs w:val="18"/>
        </w:rPr>
        <w:t xml:space="preserve">31 Toad Lane, Rochdale — the birthplace of the modern cooperative movement, now the Rochdale Pioneers Museum.  </w:t>
      </w:r>
      <w:r>
        <w:rPr>
          <w:rFonts w:ascii="Arial" w:cs="Arial" w:eastAsia="Arial" w:hAnsi="Arial"/>
          <w:color w:val="888888"/>
          <w:sz w:val="16"/>
          <w:szCs w:val="16"/>
        </w:rPr>
        <w:t xml:space="preserve">Photo credit: Elliott Brown / Flickr (CC BY 2.0) — commons.wikimedia.org</w:t>
      </w:r>
    </w:p>
    <w:p>
      <w:pPr>
        <w:pStyle w:val="BlockQuote"/>
        <w:spacing w:after="240" w:before="240"/>
      </w:pPr>
      <w:r>
        <w:rPr>
          <w:rFonts w:ascii="Georgia" w:cs="Georgia" w:eastAsia="Georgia" w:hAnsi="Georgia"/>
          <w:i/>
          <w:iCs/>
          <w:color w:val="1A2E5A"/>
          <w:sz w:val="26"/>
          <w:szCs w:val="26"/>
        </w:rPr>
        <w:t xml:space="preserve">“The strongest cooperative story is not simply ‘the first cooperative in the world’ but ‘the first successful modern cooperative that became the model for over a billion cooperative members worldwide.’”</w:t>
      </w:r>
    </w:p>
    <w:p>
      <w:pPr>
        <w:spacing w:after="200" w:before="0"/>
      </w:pPr>
      <w:r>
        <w:t xml:space="preserve"/>
      </w:r>
    </w:p>
    <w:p>
      <w:pPr>
        <w:pStyle w:val="Heading2"/>
      </w:pPr>
      <w:r>
        <w:rPr>
          <w:rFonts w:ascii="Arial" w:cs="Arial" w:eastAsia="Arial" w:hAnsi="Arial"/>
          <w:b/>
          <w:bCs/>
          <w:color w:val="1A2E5A"/>
          <w:sz w:val="28"/>
          <w:szCs w:val="28"/>
        </w:rPr>
        <w:t xml:space="preserve">England, 1844: The Problem That Started It All</w:t>
      </w:r>
    </w:p>
    <w:p>
      <w:pPr>
        <w:spacing w:after="200" w:before="0"/>
        <w:jc w:val="both"/>
      </w:pPr>
      <w:r>
        <w:rPr>
          <w:rFonts w:ascii="Georgia" w:cs="Georgia" w:eastAsia="Georgia" w:hAnsi="Georgia"/>
          <w:color w:val="2C3E6B"/>
          <w:sz w:val="24"/>
          <w:szCs w:val="24"/>
        </w:rPr>
        <w:t xml:space="preserve">To understand why the Rochdale Pioneers matter, you need to understand the world they lived in. Industrial England in the 1840s was a place of sharp contrasts. Factories were producing wealth on a scale never seen before — but that wealth was not reaching the people who produced it.</w:t>
      </w:r>
    </w:p>
    <w:p>
      <w:pPr>
        <w:spacing w:after="200" w:before="0"/>
        <w:jc w:val="both"/>
      </w:pPr>
      <w:r>
        <w:rPr>
          <w:rFonts w:ascii="Georgia" w:cs="Georgia" w:eastAsia="Georgia" w:hAnsi="Georgia"/>
          <w:color w:val="2C3E6B"/>
          <w:sz w:val="24"/>
          <w:szCs w:val="24"/>
        </w:rPr>
        <w:t xml:space="preserve">Working-class families faced three interlocking crises. Food was expensive and routinely adulterated — millers mixed chalk into flour, grocers watered down milk, and merchants sold short weights without consequence. Wages were low and irregular, controlled entirely by factory owners. And credit, when it was available to the poor at all, came with punishing interest that kept families in permanent debt.</w:t>
      </w:r>
    </w:p>
    <w:p>
      <w:pPr>
        <w:spacing w:after="200" w:before="0"/>
        <w:jc w:val="both"/>
      </w:pPr>
      <w:r>
        <w:rPr>
          <w:rFonts w:ascii="Georgia" w:cs="Georgia" w:eastAsia="Georgia" w:hAnsi="Georgia"/>
          <w:color w:val="2C3E6B"/>
          <w:sz w:val="24"/>
          <w:szCs w:val="24"/>
        </w:rPr>
        <w:t xml:space="preserve">The Rochdale Pioneers — most of them weavers and flannel workers — had tried other approaches. They had gone on strike. They had petitioned Parliament. They had joined trade unions. None of it had produced lasting change. Then, drawing on the earlier cooperative ideas of Robert Owen and others, they decided to try something different: to build their own economy.</w:t>
      </w:r>
    </w:p>
    <w:p>
      <w:pPr>
        <w:spacing w:after="120" w:before="0"/>
      </w:pPr>
      <w:r>
        <w:t xml:space="preserve"/>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1A2E5A" w:sz="12"/>
              <w:left w:val="single" w:color="E87722" w:sz="12"/>
              <w:bottom w:val="single" w:color="1A2E5A" w:sz="12"/>
              <w:right w:val="none" w:color="FFFFFF" w:sz="0"/>
            </w:tcBorders>
            <w:shd w:fill="EBF2FB" w:val="clear"/>
            <w:tcMar>
              <w:top w:type="dxa" w:w="240"/>
              <w:left w:type="dxa" w:w="360"/>
              <w:bottom w:type="dxa" w:w="240"/>
              <w:right w:type="dxa" w:w="360"/>
            </w:tcMar>
          </w:tcPr>
          <w:p>
            <w:pPr>
              <w:spacing w:after="120" w:before="0"/>
            </w:pPr>
            <w:r>
              <w:rPr>
                <w:rFonts w:ascii="Arial" w:cs="Arial" w:eastAsia="Arial" w:hAnsi="Arial"/>
                <w:b/>
                <w:bCs/>
                <w:color w:val="E87722"/>
                <w:spacing w:val="80"/>
                <w:sz w:val="18"/>
                <w:szCs w:val="18"/>
              </w:rPr>
              <w:t xml:space="preserve">THE FOUNDING FACTS</w:t>
            </w:r>
          </w:p>
          <w:p>
            <w:pPr>
              <w:spacing w:after="80" w:before="0"/>
            </w:pPr>
            <w:r>
              <w:rPr>
                <w:rFonts w:ascii="Arial" w:cs="Arial" w:eastAsia="Arial" w:hAnsi="Arial"/>
                <w:b/>
                <w:bCs/>
                <w:color w:val="1A2E5A"/>
                <w:sz w:val="26"/>
                <w:szCs w:val="26"/>
              </w:rPr>
              <w:t xml:space="preserve">Rochdale Society of Equitable Pioneers</w:t>
            </w:r>
          </w:p>
          <w:p>
            <w:pPr>
              <w:pStyle w:val="ListParagraph"/>
              <w:numPr>
                <w:ilvl w:val="0"/>
                <w:numId w:val="2"/>
              </w:numPr>
              <w:spacing w:after="40" w:before="40"/>
            </w:pPr>
            <w:r>
              <w:rPr>
                <w:rFonts w:ascii="Georgia" w:cs="Georgia" w:eastAsia="Georgia" w:hAnsi="Georgia"/>
                <w:color w:val="2C3E6B"/>
                <w:sz w:val="22"/>
                <w:szCs w:val="22"/>
              </w:rPr>
              <w:t xml:space="preserve">Founded: 21 December 1844, Rochdale, Lancashire, England</w:t>
            </w:r>
          </w:p>
          <w:p>
            <w:pPr>
              <w:pStyle w:val="ListParagraph"/>
              <w:numPr>
                <w:ilvl w:val="0"/>
                <w:numId w:val="2"/>
              </w:numPr>
              <w:spacing w:after="40" w:before="40"/>
            </w:pPr>
            <w:r>
              <w:rPr>
                <w:rFonts w:ascii="Georgia" w:cs="Georgia" w:eastAsia="Georgia" w:hAnsi="Georgia"/>
                <w:color w:val="2C3E6B"/>
                <w:sz w:val="22"/>
                <w:szCs w:val="22"/>
              </w:rPr>
              <w:t xml:space="preserve">Founders: 28 working-class artisans and weavers</w:t>
            </w:r>
          </w:p>
          <w:p>
            <w:pPr>
              <w:pStyle w:val="ListParagraph"/>
              <w:numPr>
                <w:ilvl w:val="0"/>
                <w:numId w:val="2"/>
              </w:numPr>
              <w:spacing w:after="40" w:before="40"/>
            </w:pPr>
            <w:r>
              <w:rPr>
                <w:rFonts w:ascii="Georgia" w:cs="Georgia" w:eastAsia="Georgia" w:hAnsi="Georgia"/>
                <w:color w:val="2C3E6B"/>
                <w:sz w:val="22"/>
                <w:szCs w:val="22"/>
              </w:rPr>
              <w:t xml:space="preserve">Starting capital: £28 (each member contributed £1)</w:t>
            </w:r>
          </w:p>
          <w:p>
            <w:pPr>
              <w:pStyle w:val="ListParagraph"/>
              <w:numPr>
                <w:ilvl w:val="0"/>
                <w:numId w:val="2"/>
              </w:numPr>
              <w:spacing w:after="40" w:before="40"/>
            </w:pPr>
            <w:r>
              <w:rPr>
                <w:rFonts w:ascii="Georgia" w:cs="Georgia" w:eastAsia="Georgia" w:hAnsi="Georgia"/>
                <w:color w:val="2C3E6B"/>
                <w:sz w:val="22"/>
                <w:szCs w:val="22"/>
              </w:rPr>
              <w:t xml:space="preserve">First products: flour, sugar, butter, oatmeal, candles</w:t>
            </w:r>
          </w:p>
          <w:p>
            <w:pPr>
              <w:pStyle w:val="ListParagraph"/>
              <w:numPr>
                <w:ilvl w:val="0"/>
                <w:numId w:val="2"/>
              </w:numPr>
              <w:spacing w:after="40" w:before="40"/>
            </w:pPr>
            <w:r>
              <w:rPr>
                <w:rFonts w:ascii="Georgia" w:cs="Georgia" w:eastAsia="Georgia" w:hAnsi="Georgia"/>
                <w:color w:val="2C3E6B"/>
                <w:sz w:val="22"/>
                <w:szCs w:val="22"/>
              </w:rPr>
              <w:t xml:space="preserve">Location: 31 Toad Lane, Rochdale (now a museum open to visitors)</w:t>
            </w:r>
          </w:p>
        </w:tc>
      </w:tr>
    </w:tbl>
    <w:p>
      <w:pPr>
        <w:spacing w:after="280" w:before="0"/>
      </w:pPr>
      <w:r>
        <w:t xml:space="preserve"/>
      </w:r>
    </w:p>
    <w:p>
      <w:pPr>
        <w:pStyle w:val="Heading2"/>
      </w:pPr>
      <w:r>
        <w:rPr>
          <w:rFonts w:ascii="Arial" w:cs="Arial" w:eastAsia="Arial" w:hAnsi="Arial"/>
          <w:b/>
          <w:bCs/>
          <w:color w:val="1A2E5A"/>
          <w:sz w:val="28"/>
          <w:szCs w:val="28"/>
        </w:rPr>
        <w:t xml:space="preserve">What Made Them Different: The Rochdale Principles</w:t>
      </w:r>
    </w:p>
    <w:p>
      <w:pPr>
        <w:spacing w:after="200" w:before="0"/>
        <w:jc w:val="both"/>
      </w:pPr>
      <w:r>
        <w:rPr>
          <w:rFonts w:ascii="Georgia" w:cs="Georgia" w:eastAsia="Georgia" w:hAnsi="Georgia"/>
          <w:color w:val="2C3E6B"/>
          <w:sz w:val="24"/>
          <w:szCs w:val="24"/>
        </w:rPr>
        <w:t xml:space="preserve">Cooperative-style arrangements had existed before 1844. What the Rochdale Pioneers did differently was codify their model into a set of written principles — and then stick to them. That discipline is what turned a small grocery store into the foundation of a global movement.</w:t>
      </w:r>
    </w:p>
    <w:p>
      <w:pPr>
        <w:pStyle w:val="Heading3"/>
      </w:pPr>
      <w:r>
        <w:rPr>
          <w:rFonts w:ascii="Arial" w:cs="Arial" w:eastAsia="Arial" w:hAnsi="Arial"/>
          <w:b/>
          <w:bCs/>
          <w:color w:val="E87722"/>
          <w:sz w:val="24"/>
          <w:szCs w:val="24"/>
        </w:rPr>
        <w:t xml:space="preserve">One member, one vote</w:t>
      </w:r>
    </w:p>
    <w:p>
      <w:pPr>
        <w:spacing w:after="200" w:before="0"/>
        <w:jc w:val="both"/>
      </w:pPr>
      <w:r>
        <w:rPr>
          <w:rFonts w:ascii="Georgia" w:cs="Georgia" w:eastAsia="Georgia" w:hAnsi="Georgia"/>
          <w:color w:val="2C3E6B"/>
          <w:sz w:val="24"/>
          <w:szCs w:val="24"/>
        </w:rPr>
        <w:t xml:space="preserve">Every member had an equal say in how the cooperative was run, regardless of how much they had invested. This was radical in an era when economic power translated directly into political power. At Rochdale, a weaver who had saved £1 had the same vote as a founding committee member.</w:t>
      </w:r>
    </w:p>
    <w:p>
      <w:pPr>
        <w:pStyle w:val="Heading3"/>
      </w:pPr>
      <w:r>
        <w:rPr>
          <w:rFonts w:ascii="Arial" w:cs="Arial" w:eastAsia="Arial" w:hAnsi="Arial"/>
          <w:b/>
          <w:bCs/>
          <w:color w:val="E87722"/>
          <w:sz w:val="24"/>
          <w:szCs w:val="24"/>
        </w:rPr>
        <w:t xml:space="preserve">Open and voluntary membership</w:t>
      </w:r>
    </w:p>
    <w:p>
      <w:pPr>
        <w:spacing w:after="200" w:before="0"/>
        <w:jc w:val="both"/>
      </w:pPr>
      <w:r>
        <w:rPr>
          <w:rFonts w:ascii="Georgia" w:cs="Georgia" w:eastAsia="Georgia" w:hAnsi="Georgia"/>
          <w:color w:val="2C3E6B"/>
          <w:sz w:val="24"/>
          <w:szCs w:val="24"/>
        </w:rPr>
        <w:t xml:space="preserve">Any person who agreed to the cooperative’s rules could join. There was no exclusion based on occupation, religion, or social standing. The cooperative existed to serve its members, not to gatekeep access.</w:t>
      </w:r>
    </w:p>
    <w:p>
      <w:pPr>
        <w:spacing w:after="60" w:before="160"/>
        <w:jc w:val="center"/>
      </w:pPr>
      <w:r>
        <w:drawing>
          <wp:inline distT="0" distB="0" distL="0" distR="0">
            <wp:extent cx="5524500" cy="31051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 cstate="none"/>
                    <a:srcRect/>
                    <a:stretch>
                      <a:fillRect/>
                    </a:stretch>
                  </pic:blipFill>
                  <pic:spPr bwMode="auto">
                    <a:xfrm>
                      <a:off x="0" y="0"/>
                      <a:ext cx="5524500" cy="3105150"/>
                    </a:xfrm>
                    <a:prstGeom prst="rect">
                      <a:avLst/>
                    </a:prstGeom>
                  </pic:spPr>
                </pic:pic>
              </a:graphicData>
            </a:graphic>
          </wp:inline>
        </w:drawing>
      </w:r>
    </w:p>
    <w:p>
      <w:pPr>
        <w:pStyle w:val="Caption"/>
        <w:spacing w:after="220" w:before="0"/>
      </w:pPr>
      <w:r>
        <w:rPr>
          <w:rFonts w:ascii="Arial" w:cs="Arial" w:eastAsia="Arial" w:hAnsi="Arial"/>
          <w:i/>
          <w:iCs/>
          <w:color w:val="444444"/>
          <w:sz w:val="18"/>
          <w:szCs w:val="18"/>
        </w:rPr>
        <w:t xml:space="preserve">Inside the Rochdale Pioneers Museum — a faithful recreation of the original 1844 store with its rudimentary counter, scales, and first stock.  </w:t>
      </w:r>
      <w:r>
        <w:rPr>
          <w:rFonts w:ascii="Arial" w:cs="Arial" w:eastAsia="Arial" w:hAnsi="Arial"/>
          <w:color w:val="888888"/>
          <w:sz w:val="16"/>
          <w:szCs w:val="16"/>
        </w:rPr>
        <w:t xml:space="preserve">Photo credit: Rochdale Pioneers Museum / Co-operative Heritage Trust — rochdalepioneersmuseum.coop</w:t>
      </w:r>
    </w:p>
    <w:p>
      <w:pPr>
        <w:pStyle w:val="Heading3"/>
      </w:pPr>
      <w:r>
        <w:rPr>
          <w:rFonts w:ascii="Arial" w:cs="Arial" w:eastAsia="Arial" w:hAnsi="Arial"/>
          <w:b/>
          <w:bCs/>
          <w:color w:val="E87722"/>
          <w:sz w:val="24"/>
          <w:szCs w:val="24"/>
        </w:rPr>
        <w:t xml:space="preserve">Profit sharing among members</w:t>
      </w:r>
    </w:p>
    <w:p>
      <w:pPr>
        <w:spacing w:after="200" w:before="0"/>
        <w:jc w:val="both"/>
      </w:pPr>
      <w:r>
        <w:rPr>
          <w:rFonts w:ascii="Georgia" w:cs="Georgia" w:eastAsia="Georgia" w:hAnsi="Georgia"/>
          <w:color w:val="2C3E6B"/>
          <w:sz w:val="24"/>
          <w:szCs w:val="24"/>
        </w:rPr>
        <w:t xml:space="preserve">Surplus was returned to members in proportion to what they had spent at the store — not distributed to external shareholders. This was the Rochdale ‘divi’ (dividend), and it gave ordinary families their first taste of what it felt like to own a share of a commercial enterprise that worked in their favour.</w:t>
      </w:r>
    </w:p>
    <w:p>
      <w:pPr>
        <w:pStyle w:val="Heading3"/>
      </w:pPr>
      <w:r>
        <w:rPr>
          <w:rFonts w:ascii="Arial" w:cs="Arial" w:eastAsia="Arial" w:hAnsi="Arial"/>
          <w:b/>
          <w:bCs/>
          <w:color w:val="E87722"/>
          <w:sz w:val="24"/>
          <w:szCs w:val="24"/>
        </w:rPr>
        <w:t xml:space="preserve">Education, training, and information</w:t>
      </w:r>
    </w:p>
    <w:p>
      <w:pPr>
        <w:spacing w:after="200" w:before="0"/>
        <w:jc w:val="both"/>
      </w:pPr>
      <w:r>
        <w:rPr>
          <w:rFonts w:ascii="Georgia" w:cs="Georgia" w:eastAsia="Georgia" w:hAnsi="Georgia"/>
          <w:color w:val="2C3E6B"/>
          <w:sz w:val="24"/>
          <w:szCs w:val="24"/>
        </w:rPr>
        <w:t xml:space="preserve">The Pioneers set aside a portion of their surplus specifically for member education. This was not philanthropy — it was strategy. They understood that an informed member was a better member, and that the cooperative would only remain true to its values if its members understood those values.</w:t>
      </w:r>
    </w:p>
    <w:p>
      <w:pPr>
        <w:pStyle w:val="Heading3"/>
      </w:pPr>
      <w:r>
        <w:rPr>
          <w:rFonts w:ascii="Arial" w:cs="Arial" w:eastAsia="Arial" w:hAnsi="Arial"/>
          <w:b/>
          <w:bCs/>
          <w:color w:val="E87722"/>
          <w:sz w:val="24"/>
          <w:szCs w:val="24"/>
        </w:rPr>
        <w:t xml:space="preserve">Cooperation among cooperatives</w:t>
      </w:r>
    </w:p>
    <w:p>
      <w:pPr>
        <w:spacing w:after="200" w:before="0"/>
        <w:jc w:val="both"/>
      </w:pPr>
      <w:r>
        <w:rPr>
          <w:rFonts w:ascii="Georgia" w:cs="Georgia" w:eastAsia="Georgia" w:hAnsi="Georgia"/>
          <w:color w:val="2C3E6B"/>
          <w:sz w:val="24"/>
          <w:szCs w:val="24"/>
        </w:rPr>
        <w:t xml:space="preserve">The Rochdale model was never meant to stay in Rochdale. The Pioneers envisioned a network of cooperatives that would trade with, support, and strengthen one another. That vision eventually produced the International Co-operative Alliance, founded in 1895, which now represents over three million cooperatives worldwide.</w:t>
      </w:r>
    </w:p>
    <w:p>
      <w:pPr>
        <w:spacing w:after="280" w:before="0"/>
      </w:pPr>
      <w:r>
        <w:t xml:space="preserve"/>
      </w:r>
    </w:p>
    <w:p>
      <w:pPr>
        <w:pStyle w:val="Heading2"/>
      </w:pPr>
      <w:r>
        <w:rPr>
          <w:rFonts w:ascii="Arial" w:cs="Arial" w:eastAsia="Arial" w:hAnsi="Arial"/>
          <w:b/>
          <w:bCs/>
          <w:color w:val="1A2E5A"/>
          <w:sz w:val="28"/>
          <w:szCs w:val="28"/>
        </w:rPr>
        <w:t xml:space="preserve">How One Store Became a Global Movement</w:t>
      </w:r>
    </w:p>
    <w:p>
      <w:pPr>
        <w:spacing w:after="200" w:before="0"/>
        <w:jc w:val="both"/>
      </w:pPr>
      <w:r>
        <w:rPr>
          <w:rFonts w:ascii="Georgia" w:cs="Georgia" w:eastAsia="Georgia" w:hAnsi="Georgia"/>
          <w:color w:val="2C3E6B"/>
          <w:sz w:val="24"/>
          <w:szCs w:val="24"/>
        </w:rPr>
        <w:t xml:space="preserve">The Rochdale store opened on 21 December 1844 with modest stock and grand ambitions. In the first year, membership grew from 28 to 74. By 1850 there were 600 members. By 1900 the cooperative model had spread across Britain, Europe, North America, and beyond.</w:t>
      </w:r>
    </w:p>
    <w:p>
      <w:pPr>
        <w:spacing w:after="60" w:before="160"/>
        <w:jc w:val="center"/>
      </w:pPr>
      <w:r>
        <w:drawing>
          <wp:inline distT="0" distB="0" distL="0" distR="0">
            <wp:extent cx="5524500" cy="31051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 cstate="none"/>
                    <a:srcRect/>
                    <a:stretch>
                      <a:fillRect/>
                    </a:stretch>
                  </pic:blipFill>
                  <pic:spPr bwMode="auto">
                    <a:xfrm>
                      <a:off x="0" y="0"/>
                      <a:ext cx="5524500" cy="3105150"/>
                    </a:xfrm>
                    <a:prstGeom prst="rect">
                      <a:avLst/>
                    </a:prstGeom>
                  </pic:spPr>
                </pic:pic>
              </a:graphicData>
            </a:graphic>
          </wp:inline>
        </w:drawing>
      </w:r>
    </w:p>
    <w:p>
      <w:pPr>
        <w:pStyle w:val="Caption"/>
        <w:spacing w:after="220" w:before="0"/>
      </w:pPr>
      <w:r>
        <w:rPr>
          <w:rFonts w:ascii="Arial" w:cs="Arial" w:eastAsia="Arial" w:hAnsi="Arial"/>
          <w:i/>
          <w:iCs/>
          <w:color w:val="444444"/>
          <w:sz w:val="18"/>
          <w:szCs w:val="18"/>
        </w:rPr>
        <w:t xml:space="preserve">Thirteen of the original twenty-eight founding members of the Rochdale Equitable Pioneers Society, photographed together circa 1865.  </w:t>
      </w:r>
      <w:r>
        <w:rPr>
          <w:rFonts w:ascii="Arial" w:cs="Arial" w:eastAsia="Arial" w:hAnsi="Arial"/>
          <w:color w:val="888888"/>
          <w:sz w:val="16"/>
          <w:szCs w:val="16"/>
        </w:rPr>
        <w:t xml:space="preserve">Image credit: Co-operative Heritage Trust / Public Domain — co-operativeheritage.coop</w:t>
      </w:r>
    </w:p>
    <w:p>
      <w:pPr>
        <w:spacing w:after="200" w:before="0"/>
        <w:jc w:val="both"/>
      </w:pPr>
      <w:r>
        <w:rPr>
          <w:rFonts w:ascii="Georgia" w:cs="Georgia" w:eastAsia="Georgia" w:hAnsi="Georgia"/>
          <w:color w:val="2C3E6B"/>
          <w:sz w:val="24"/>
          <w:szCs w:val="24"/>
        </w:rPr>
        <w:t xml:space="preserve">What travelled with it were the principles. Every agricultural cooperative that helped a West African farmer get fair value for cocoa. Every credit union that gave a Nigerian family access to savings. Every housing cooperative that let working families own their home. Every consumer cooperative that returned surplus to shoppers rather than to shareholders. All of them trace their intellectual lineage back to Toad Lane.</w:t>
      </w:r>
    </w:p>
    <w:p>
      <w:pPr>
        <w:spacing w:after="200" w:before="0"/>
        <w:jc w:val="both"/>
      </w:pPr>
      <w:r>
        <w:rPr>
          <w:rFonts w:ascii="Georgia" w:cs="Georgia" w:eastAsia="Georgia" w:hAnsi="Georgia"/>
          <w:color w:val="2C3E6B"/>
          <w:sz w:val="24"/>
          <w:szCs w:val="24"/>
        </w:rPr>
        <w:t xml:space="preserve">The numbers today are staggering. More than one billion people worldwide are cooperative members. Cooperatives operate in over 100 countries. The largest cooperative economies — France, Germany, the Netherlands — are home to cooperatives that rank among the biggest enterprises in their sectors. In Nigeria alone, the cooperative movement employs millions and channels billions of naira through member-owned savings and credit societies every year.</w:t>
      </w:r>
    </w:p>
    <w:p>
      <w:pPr>
        <w:pStyle w:val="BlockQuote"/>
        <w:spacing w:after="240" w:before="240"/>
      </w:pPr>
      <w:r>
        <w:rPr>
          <w:rFonts w:ascii="Georgia" w:cs="Georgia" w:eastAsia="Georgia" w:hAnsi="Georgia"/>
          <w:i/>
          <w:iCs/>
          <w:color w:val="1A2E5A"/>
          <w:sz w:val="26"/>
          <w:szCs w:val="26"/>
        </w:rPr>
        <w:t xml:space="preserve">“From one small store in 1844, the cooperative model spread across the world. Today it serves more than one billion people in over 100 countries.”</w:t>
      </w:r>
    </w:p>
    <w:p>
      <w:pPr>
        <w:spacing w:after="60" w:before="160"/>
        <w:jc w:val="center"/>
      </w:pPr>
      <w:r>
        <w:drawing>
          <wp:inline distT="0" distB="0" distL="0" distR="0">
            <wp:extent cx="5524500" cy="31051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2" cstate="none"/>
                    <a:srcRect/>
                    <a:stretch>
                      <a:fillRect/>
                    </a:stretch>
                  </pic:blipFill>
                  <pic:spPr bwMode="auto">
                    <a:xfrm>
                      <a:off x="0" y="0"/>
                      <a:ext cx="5524500" cy="3105150"/>
                    </a:xfrm>
                    <a:prstGeom prst="rect">
                      <a:avLst/>
                    </a:prstGeom>
                  </pic:spPr>
                </pic:pic>
              </a:graphicData>
            </a:graphic>
          </wp:inline>
        </w:drawing>
      </w:r>
    </w:p>
    <w:p>
      <w:pPr>
        <w:pStyle w:val="Caption"/>
        <w:spacing w:after="220" w:before="0"/>
      </w:pPr>
      <w:r>
        <w:rPr>
          <w:rFonts w:ascii="Arial" w:cs="Arial" w:eastAsia="Arial" w:hAnsi="Arial"/>
          <w:i/>
          <w:iCs/>
          <w:color w:val="444444"/>
          <w:sz w:val="18"/>
          <w:szCs w:val="18"/>
        </w:rPr>
        <w:t xml:space="preserve">The global reach of the cooperative movement — active in over 100 countries, serving more than one billion members worldwide.  </w:t>
      </w:r>
      <w:r>
        <w:rPr>
          <w:rFonts w:ascii="Arial" w:cs="Arial" w:eastAsia="Arial" w:hAnsi="Arial"/>
          <w:color w:val="888888"/>
          <w:sz w:val="16"/>
          <w:szCs w:val="16"/>
        </w:rPr>
        <w:t xml:space="preserve">Illustration: International Co-operative Alliance / ica.coop</w:t>
      </w:r>
    </w:p>
    <w:p>
      <w:pPr>
        <w:spacing w:after="160" w:before="0"/>
      </w:pPr>
      <w:r>
        <w:t xml:space="preserve"/>
      </w:r>
    </w:p>
    <w:p>
      <w:pPr>
        <w:pStyle w:val="Heading2"/>
      </w:pPr>
      <w:r>
        <w:rPr>
          <w:rFonts w:ascii="Arial" w:cs="Arial" w:eastAsia="Arial" w:hAnsi="Arial"/>
          <w:b/>
          <w:bCs/>
          <w:color w:val="1A2E5A"/>
          <w:sz w:val="28"/>
          <w:szCs w:val="28"/>
        </w:rPr>
        <w:t xml:space="preserve">Why This Matters to Every GTCS Member</w:t>
      </w:r>
    </w:p>
    <w:p>
      <w:pPr>
        <w:spacing w:after="200" w:before="0"/>
        <w:jc w:val="both"/>
      </w:pPr>
      <w:r>
        <w:rPr>
          <w:rFonts w:ascii="Georgia" w:cs="Georgia" w:eastAsia="Georgia" w:hAnsi="Georgia"/>
          <w:color w:val="2C3E6B"/>
          <w:sz w:val="24"/>
          <w:szCs w:val="24"/>
        </w:rPr>
        <w:t xml:space="preserve">The Rochdale Pioneers were not financiers. They were not entrepreneurs in the conventional sense. They were ordinary workers who looked at a system that was failing them and built a better one.</w:t>
      </w:r>
    </w:p>
    <w:p>
      <w:pPr>
        <w:spacing w:after="200" w:before="0"/>
        <w:jc w:val="both"/>
      </w:pPr>
      <w:r>
        <w:rPr>
          <w:rFonts w:ascii="Georgia" w:cs="Georgia" w:eastAsia="Georgia" w:hAnsi="Georgia"/>
          <w:color w:val="2C3E6B"/>
          <w:sz w:val="24"/>
          <w:szCs w:val="24"/>
        </w:rPr>
        <w:t xml:space="preserve">That is the same impulse that drives GTCS. Every member who contributes to our thrift, accesses cooperative credit, or participates in our governance is continuing a tradition that is 180 years old and has proven itself on every continent. When you join GTCS, you are not joining a new experiment. You are joining the most tested financial model in human history.</w:t>
      </w:r>
    </w:p>
    <w:p>
      <w:pPr>
        <w:spacing w:after="200" w:before="0"/>
        <w:jc w:val="both"/>
      </w:pPr>
      <w:r>
        <w:rPr>
          <w:rFonts w:ascii="Georgia" w:cs="Georgia" w:eastAsia="Georgia" w:hAnsi="Georgia"/>
          <w:color w:val="2C3E6B"/>
          <w:sz w:val="24"/>
          <w:szCs w:val="24"/>
        </w:rPr>
        <w:t xml:space="preserve">The economic pressures our members face today — rising costs of living, limited access to fair credit, the need for reliable savings mechanisms — are not so different from what those twenty-eight weavers faced in 1844. And the solution they found is not so different from what GTCS offers: member ownership, democratic control, and the conviction that ordinary people, working together, are stronger than any of them working alone.</w:t>
      </w:r>
    </w:p>
    <w:p>
      <w:pPr>
        <w:spacing w:after="280" w:before="0"/>
      </w:pPr>
      <w:r>
        <w:t xml:space="preserve"/>
      </w:r>
    </w:p>
    <w:p>
      <w:pPr>
        <w:pStyle w:val="Heading2"/>
      </w:pPr>
      <w:r>
        <w:rPr>
          <w:rFonts w:ascii="Arial" w:cs="Arial" w:eastAsia="Arial" w:hAnsi="Arial"/>
          <w:b/>
          <w:bCs/>
          <w:color w:val="1A2E5A"/>
          <w:sz w:val="28"/>
          <w:szCs w:val="28"/>
        </w:rPr>
        <w:t xml:space="preserve">The Heritage We Carry Forward</w:t>
      </w:r>
    </w:p>
    <w:p>
      <w:pPr>
        <w:spacing w:after="200" w:before="0"/>
        <w:jc w:val="both"/>
      </w:pPr>
      <w:r>
        <w:rPr>
          <w:rFonts w:ascii="Georgia" w:cs="Georgia" w:eastAsia="Georgia" w:hAnsi="Georgia"/>
          <w:color w:val="2C3E6B"/>
          <w:sz w:val="24"/>
          <w:szCs w:val="24"/>
        </w:rPr>
        <w:t xml:space="preserve">It is worth pausing to appreciate what 180 years means. Empires have risen and fallen in that time. Financial systems have collapsed. Companies that once seemed unshakeable have disappeared entirely. And yet the cooperative model — built on mutual accountability, democratic participation, and shared benefit — has not only survived but grown.</w:t>
      </w:r>
    </w:p>
    <w:p>
      <w:pPr>
        <w:spacing w:after="200" w:before="0"/>
        <w:jc w:val="both"/>
      </w:pPr>
      <w:r>
        <w:rPr>
          <w:rFonts w:ascii="Georgia" w:cs="Georgia" w:eastAsia="Georgia" w:hAnsi="Georgia"/>
          <w:color w:val="2C3E6B"/>
          <w:sz w:val="24"/>
          <w:szCs w:val="24"/>
        </w:rPr>
        <w:t xml:space="preserve">That durability is not accidental. It is the direct result of the principles the Rochdale Pioneers built in from the beginning. Principles that put people before profit. That demanded transparency from leadership. That returned value to the people who created it rather than to distant investors. That treated education as a core function, not an afterthought.</w:t>
      </w:r>
    </w:p>
    <w:p>
      <w:pPr>
        <w:spacing w:after="200" w:before="0"/>
        <w:jc w:val="both"/>
      </w:pPr>
      <w:r>
        <w:rPr>
          <w:rFonts w:ascii="Georgia" w:cs="Georgia" w:eastAsia="Georgia" w:hAnsi="Georgia"/>
          <w:color w:val="2C3E6B"/>
          <w:sz w:val="24"/>
          <w:szCs w:val="24"/>
        </w:rPr>
        <w:t xml:space="preserve">At GTCS, we are custodians of that heritage. Our constitution, our governance, our thrift and credit operations — all of it reflects principles that were first articulated in a small mill town in England by people who had every reason to give up and chose instead to build.</w:t>
      </w:r>
    </w:p>
    <w:p>
      <w:pPr>
        <w:spacing w:after="320" w:before="0"/>
        <w:jc w:val="both"/>
      </w:pPr>
      <w:r>
        <w:rPr>
          <w:rFonts w:ascii="Georgia" w:cs="Georgia" w:eastAsia="Georgia" w:hAnsi="Georgia"/>
          <w:b/>
          <w:bCs/>
          <w:color w:val="1A2E5A"/>
          <w:sz w:val="24"/>
          <w:szCs w:val="24"/>
        </w:rPr>
        <w:t xml:space="preserve">We carry that work forward. And we invite every member to carry it with us.</w:t>
      </w:r>
    </w:p>
    <w:p>
      <w:pPr>
        <w:pBdr>
          <w:bottom w:val="single" w:color="1A2E5A" w:sz="8" w:space="1"/>
        </w:pBdr>
        <w:spacing w:after="240" w:before="0"/>
      </w:pPr>
      <w:r>
        <w:t xml:space="preserve"/>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E87722" w:sz="12"/>
              <w:left w:val="none" w:color="000000" w:sz="0"/>
              <w:bottom w:val="single" w:color="E87722" w:sz="12"/>
              <w:right w:val="none" w:color="000000" w:sz="0"/>
            </w:tcBorders>
            <w:shd w:fill="1A2E5A" w:val="clear"/>
            <w:tcMar>
              <w:top w:type="dxa" w:w="240"/>
              <w:left w:type="dxa" w:w="360"/>
              <w:bottom w:type="dxa" w:w="240"/>
              <w:right w:type="dxa" w:w="360"/>
            </w:tcMar>
          </w:tcPr>
          <w:p>
            <w:pPr>
              <w:spacing w:after="160" w:before="0"/>
            </w:pPr>
            <w:r>
              <w:rPr>
                <w:rFonts w:ascii="Arial" w:cs="Arial" w:eastAsia="Arial" w:hAnsi="Arial"/>
                <w:b/>
                <w:bCs/>
                <w:color w:val="E87722"/>
                <w:spacing w:val="80"/>
                <w:sz w:val="18"/>
                <w:szCs w:val="18"/>
              </w:rPr>
              <w:t xml:space="preserve">THE GLOBAL LEGACY IN NUMBERS</w:t>
            </w:r>
          </w:p>
          <w:p>
            <w:pPr>
              <w:pStyle w:val="ListParagraph"/>
              <w:numPr>
                <w:ilvl w:val="0"/>
                <w:numId w:val="2"/>
              </w:numPr>
              <w:spacing w:after="40" w:before="40"/>
            </w:pPr>
            <w:r>
              <w:rPr>
                <w:rFonts w:ascii="Georgia" w:cs="Georgia" w:eastAsia="Georgia" w:hAnsi="Georgia"/>
                <w:color w:val="FFFFFF"/>
                <w:sz w:val="22"/>
                <w:szCs w:val="22"/>
              </w:rPr>
              <w:t xml:space="preserve">1844  —  Year the first successful modern cooperative was founded</w:t>
            </w:r>
          </w:p>
          <w:p>
            <w:pPr>
              <w:pStyle w:val="ListParagraph"/>
              <w:numPr>
                <w:ilvl w:val="0"/>
                <w:numId w:val="2"/>
              </w:numPr>
              <w:spacing w:after="40" w:before="40"/>
            </w:pPr>
            <w:r>
              <w:rPr>
                <w:rFonts w:ascii="Georgia" w:cs="Georgia" w:eastAsia="Georgia" w:hAnsi="Georgia"/>
                <w:color w:val="FFFFFF"/>
                <w:sz w:val="22"/>
                <w:szCs w:val="22"/>
              </w:rPr>
              <w:t xml:space="preserve">28  —  Founding members of the Rochdale Pioneers</w:t>
            </w:r>
          </w:p>
          <w:p>
            <w:pPr>
              <w:pStyle w:val="ListParagraph"/>
              <w:numPr>
                <w:ilvl w:val="0"/>
                <w:numId w:val="2"/>
              </w:numPr>
              <w:spacing w:after="40" w:before="40"/>
            </w:pPr>
            <w:r>
              <w:rPr>
                <w:rFonts w:ascii="Georgia" w:cs="Georgia" w:eastAsia="Georgia" w:hAnsi="Georgia"/>
                <w:color w:val="FFFFFF"/>
                <w:sz w:val="22"/>
                <w:szCs w:val="22"/>
              </w:rPr>
              <w:t xml:space="preserve">£28  —  Starting capital (one pound per member)</w:t>
            </w:r>
          </w:p>
          <w:p>
            <w:pPr>
              <w:pStyle w:val="ListParagraph"/>
              <w:numPr>
                <w:ilvl w:val="0"/>
                <w:numId w:val="2"/>
              </w:numPr>
              <w:spacing w:after="40" w:before="40"/>
            </w:pPr>
            <w:r>
              <w:rPr>
                <w:rFonts w:ascii="Georgia" w:cs="Georgia" w:eastAsia="Georgia" w:hAnsi="Georgia"/>
                <w:color w:val="FFFFFF"/>
                <w:sz w:val="22"/>
                <w:szCs w:val="22"/>
              </w:rPr>
              <w:t xml:space="preserve">180+  —  Years of proven cooperative model</w:t>
            </w:r>
          </w:p>
          <w:p>
            <w:pPr>
              <w:pStyle w:val="ListParagraph"/>
              <w:numPr>
                <w:ilvl w:val="0"/>
                <w:numId w:val="2"/>
              </w:numPr>
              <w:spacing w:after="40" w:before="40"/>
            </w:pPr>
            <w:r>
              <w:rPr>
                <w:rFonts w:ascii="Georgia" w:cs="Georgia" w:eastAsia="Georgia" w:hAnsi="Georgia"/>
                <w:color w:val="FFFFFF"/>
                <w:sz w:val="22"/>
                <w:szCs w:val="22"/>
              </w:rPr>
              <w:t xml:space="preserve">100+  —  Countries with active cooperative economies</w:t>
            </w:r>
          </w:p>
          <w:p>
            <w:pPr>
              <w:pStyle w:val="ListParagraph"/>
              <w:numPr>
                <w:ilvl w:val="0"/>
                <w:numId w:val="2"/>
              </w:numPr>
              <w:spacing w:after="0" w:before="40"/>
            </w:pPr>
            <w:r>
              <w:rPr>
                <w:rFonts w:ascii="Georgia" w:cs="Georgia" w:eastAsia="Georgia" w:hAnsi="Georgia"/>
                <w:color w:val="FFFFFF"/>
                <w:sz w:val="22"/>
                <w:szCs w:val="22"/>
              </w:rPr>
              <w:t xml:space="preserve">1 billion+  —  Cooperative members worldwide</w:t>
            </w:r>
          </w:p>
        </w:tc>
      </w:tr>
    </w:tbl>
    <w:p>
      <w:pPr>
        <w:spacing w:after="400" w:before="0"/>
      </w:pPr>
      <w:r>
        <w:t xml:space="preserve"/>
      </w:r>
    </w:p>
    <w:p>
      <w:pPr>
        <w:pBdr>
          <w:top w:val="double" w:color="E87722" w:sz="8" w:space="4"/>
        </w:pBdr>
        <w:spacing w:after="0" w:before="0"/>
      </w:pPr>
      <w:r>
        <w:t xml:space="preserve"/>
      </w:r>
    </w:p>
    <w:p>
      <w:pPr>
        <w:spacing w:after="160" w:before="0"/>
      </w:pPr>
      <w:r>
        <w:t xml:space="preserve"/>
      </w:r>
    </w:p>
    <w:p>
      <w:pPr>
        <w:spacing w:after="120" w:before="0"/>
      </w:pPr>
      <w:r>
        <w:rPr>
          <w:rFonts w:ascii="Arial" w:cs="Arial" w:eastAsia="Arial" w:hAnsi="Arial"/>
          <w:b/>
          <w:bCs/>
          <w:color w:val="E87722"/>
          <w:spacing w:val="80"/>
          <w:sz w:val="18"/>
          <w:szCs w:val="18"/>
        </w:rPr>
        <w:t xml:space="preserve">DEVELOPER GUIDE</w:t>
      </w:r>
    </w:p>
    <w:p>
      <w:pPr>
        <w:pStyle w:val="Heading1"/>
        <w:spacing w:after="200" w:before="0"/>
      </w:pPr>
      <w:r>
        <w:rPr>
          <w:rFonts w:ascii="Arial" w:cs="Arial" w:eastAsia="Arial" w:hAnsi="Arial"/>
          <w:b/>
          <w:bCs/>
          <w:color w:val="1A2E5A"/>
          <w:sz w:val="36"/>
          <w:szCs w:val="36"/>
        </w:rPr>
        <w:t xml:space="preserve">How to Host This Blog on Your Website</w:t>
      </w:r>
    </w:p>
    <w:p>
      <w:pPr>
        <w:spacing w:after="200" w:before="0"/>
        <w:jc w:val="both"/>
      </w:pPr>
      <w:r>
        <w:rPr>
          <w:rFonts w:ascii="Georgia" w:cs="Georgia" w:eastAsia="Georgia" w:hAnsi="Georgia"/>
          <w:color w:val="2C3E6B"/>
          <w:sz w:val="24"/>
          <w:szCs w:val="24"/>
        </w:rPr>
        <w:t xml:space="preserve">This guide covers everything a developer needs to publish and maintain the GTCS cooperative heritage blog post — from choosing a platform to managing photo credits and SEO. It is written for someone comfortable with basic web hosting but who may not have built a blog before.</w:t>
      </w:r>
    </w:p>
    <w:p>
      <w:pPr>
        <w:spacing w:after="200" w:before="0"/>
      </w:pPr>
      <w:r>
        <w:t xml:space="preserve"/>
      </w:r>
    </w:p>
    <w:p>
      <w:pPr>
        <w:pStyle w:val="Heading2"/>
      </w:pPr>
      <w:r>
        <w:rPr>
          <w:rFonts w:ascii="Arial" w:cs="Arial" w:eastAsia="Arial" w:hAnsi="Arial"/>
          <w:b/>
          <w:bCs/>
          <w:color w:val="1A2E5A"/>
          <w:sz w:val="28"/>
          <w:szCs w:val="28"/>
        </w:rPr>
        <w:t xml:space="preserve">Step 1: Choose Your Blogging Platform</w:t>
      </w:r>
    </w:p>
    <w:p>
      <w:pPr>
        <w:spacing w:after="200" w:before="0"/>
        <w:jc w:val="both"/>
      </w:pPr>
      <w:r>
        <w:rPr>
          <w:rFonts w:ascii="Georgia" w:cs="Georgia" w:eastAsia="Georgia" w:hAnsi="Georgia"/>
          <w:color w:val="2C3E6B"/>
          <w:sz w:val="24"/>
          <w:szCs w:val="24"/>
        </w:rPr>
        <w:t xml:space="preserve">The right platform depends on whether GTCS already has a website and how much technical control you want. The three most practical options for a cooperative of this size are:</w:t>
      </w:r>
    </w:p>
    <w:p>
      <w:pPr>
        <w:pStyle w:val="Heading3"/>
      </w:pPr>
      <w:r>
        <w:rPr>
          <w:rFonts w:ascii="Arial" w:cs="Arial" w:eastAsia="Arial" w:hAnsi="Arial"/>
          <w:b/>
          <w:bCs/>
          <w:color w:val="E87722"/>
          <w:sz w:val="24"/>
          <w:szCs w:val="24"/>
        </w:rPr>
        <w:t xml:space="preserve">Option A — WordPress (self-hosted)</w:t>
      </w:r>
    </w:p>
    <w:p>
      <w:pPr>
        <w:spacing w:after="200" w:before="0"/>
        <w:jc w:val="both"/>
      </w:pPr>
      <w:r>
        <w:rPr>
          <w:rFonts w:ascii="Georgia" w:cs="Georgia" w:eastAsia="Georgia" w:hAnsi="Georgia"/>
          <w:color w:val="2C3E6B"/>
          <w:sz w:val="24"/>
          <w:szCs w:val="24"/>
        </w:rPr>
        <w:t xml:space="preserve">WordPress powers over 40% of all websites globally and is the gold standard for organisational blogs. You install it on your own hosting account, giving you full control over design, data, and future functionality.</w:t>
      </w:r>
    </w:p>
    <w:p>
      <w:pPr>
        <w:pStyle w:val="ListParagraph"/>
        <w:numPr>
          <w:ilvl w:val="0"/>
          <w:numId w:val="2"/>
        </w:numPr>
        <w:spacing w:after="40" w:before="40"/>
      </w:pPr>
      <w:r>
        <w:rPr>
          <w:rFonts w:ascii="Georgia" w:cs="Georgia" w:eastAsia="Georgia" w:hAnsi="Georgia"/>
          <w:color w:val="2C3E6B"/>
          <w:sz w:val="22"/>
          <w:szCs w:val="22"/>
        </w:rPr>
        <w:t xml:space="preserve">Best for: organisations that want ownership and flexibility</w:t>
      </w:r>
    </w:p>
    <w:p>
      <w:pPr>
        <w:pStyle w:val="ListParagraph"/>
        <w:numPr>
          <w:ilvl w:val="0"/>
          <w:numId w:val="2"/>
        </w:numPr>
        <w:spacing w:after="40" w:before="40"/>
      </w:pPr>
      <w:r>
        <w:rPr>
          <w:rFonts w:ascii="Georgia" w:cs="Georgia" w:eastAsia="Georgia" w:hAnsi="Georgia"/>
          <w:color w:val="2C3E6B"/>
          <w:sz w:val="22"/>
          <w:szCs w:val="22"/>
        </w:rPr>
        <w:t xml:space="preserve">Hosting cost: £5–10/month on Bluehost, SiteGround, or Namecheap</w:t>
      </w:r>
    </w:p>
    <w:p>
      <w:pPr>
        <w:pStyle w:val="ListParagraph"/>
        <w:numPr>
          <w:ilvl w:val="0"/>
          <w:numId w:val="2"/>
        </w:numPr>
        <w:spacing w:after="80" w:before="40"/>
      </w:pPr>
      <w:r>
        <w:rPr>
          <w:rFonts w:ascii="Georgia" w:cs="Georgia" w:eastAsia="Georgia" w:hAnsi="Georgia"/>
          <w:color w:val="2C3E6B"/>
          <w:sz w:val="22"/>
          <w:szCs w:val="22"/>
        </w:rPr>
        <w:t xml:space="preserve">Technical requirement: basic FTP/cPanel familiarity</w:t>
      </w:r>
    </w:p>
    <w:p>
      <w:pPr>
        <w:pStyle w:val="Heading3"/>
      </w:pPr>
      <w:r>
        <w:rPr>
          <w:rFonts w:ascii="Arial" w:cs="Arial" w:eastAsia="Arial" w:hAnsi="Arial"/>
          <w:b/>
          <w:bCs/>
          <w:color w:val="E87722"/>
          <w:sz w:val="24"/>
          <w:szCs w:val="24"/>
        </w:rPr>
        <w:t xml:space="preserve">Option B — Ghost (self-hosted or managed)</w:t>
      </w:r>
    </w:p>
    <w:p>
      <w:pPr>
        <w:spacing w:after="200" w:before="0"/>
        <w:jc w:val="both"/>
      </w:pPr>
      <w:r>
        <w:rPr>
          <w:rFonts w:ascii="Georgia" w:cs="Georgia" w:eastAsia="Georgia" w:hAnsi="Georgia"/>
          <w:color w:val="2C3E6B"/>
          <w:sz w:val="24"/>
          <w:szCs w:val="24"/>
        </w:rPr>
        <w:t xml:space="preserve">Ghost is a modern, focused publishing platform built for professional blog content. It is faster than WordPress and has cleaner default design, but fewer plugins.</w:t>
      </w:r>
    </w:p>
    <w:p>
      <w:pPr>
        <w:pStyle w:val="ListParagraph"/>
        <w:numPr>
          <w:ilvl w:val="0"/>
          <w:numId w:val="2"/>
        </w:numPr>
        <w:spacing w:after="40" w:before="40"/>
      </w:pPr>
      <w:r>
        <w:rPr>
          <w:rFonts w:ascii="Georgia" w:cs="Georgia" w:eastAsia="Georgia" w:hAnsi="Georgia"/>
          <w:color w:val="2C3E6B"/>
          <w:sz w:val="22"/>
          <w:szCs w:val="22"/>
        </w:rPr>
        <w:t xml:space="preserve">Best for: clean editorial design with minimal setup</w:t>
      </w:r>
    </w:p>
    <w:p>
      <w:pPr>
        <w:pStyle w:val="ListParagraph"/>
        <w:numPr>
          <w:ilvl w:val="0"/>
          <w:numId w:val="2"/>
        </w:numPr>
        <w:spacing w:after="40" w:before="40"/>
      </w:pPr>
      <w:r>
        <w:rPr>
          <w:rFonts w:ascii="Georgia" w:cs="Georgia" w:eastAsia="Georgia" w:hAnsi="Georgia"/>
          <w:color w:val="2C3E6B"/>
          <w:sz w:val="22"/>
          <w:szCs w:val="22"/>
        </w:rPr>
        <w:t xml:space="preserve">Managed hosting: from $9/month at Ghost.io</w:t>
      </w:r>
    </w:p>
    <w:p>
      <w:pPr>
        <w:pStyle w:val="ListParagraph"/>
        <w:numPr>
          <w:ilvl w:val="0"/>
          <w:numId w:val="2"/>
        </w:numPr>
        <w:spacing w:after="80" w:before="40"/>
      </w:pPr>
      <w:r>
        <w:rPr>
          <w:rFonts w:ascii="Georgia" w:cs="Georgia" w:eastAsia="Georgia" w:hAnsi="Georgia"/>
          <w:color w:val="2C3E6B"/>
          <w:sz w:val="22"/>
          <w:szCs w:val="22"/>
        </w:rPr>
        <w:t xml:space="preserve">Technical requirement: Node.js server for self-hosting</w:t>
      </w:r>
    </w:p>
    <w:p>
      <w:pPr>
        <w:pStyle w:val="Heading3"/>
      </w:pPr>
      <w:r>
        <w:rPr>
          <w:rFonts w:ascii="Arial" w:cs="Arial" w:eastAsia="Arial" w:hAnsi="Arial"/>
          <w:b/>
          <w:bCs/>
          <w:color w:val="E87722"/>
          <w:sz w:val="24"/>
          <w:szCs w:val="24"/>
        </w:rPr>
        <w:t xml:space="preserve">Option C — Static site (Hugo or Eleventy) with Netlify</w:t>
      </w:r>
    </w:p>
    <w:p>
      <w:pPr>
        <w:spacing w:after="200" w:before="0"/>
        <w:jc w:val="both"/>
      </w:pPr>
      <w:r>
        <w:rPr>
          <w:rFonts w:ascii="Georgia" w:cs="Georgia" w:eastAsia="Georgia" w:hAnsi="Georgia"/>
          <w:color w:val="2C3E6B"/>
          <w:sz w:val="24"/>
          <w:szCs w:val="24"/>
        </w:rPr>
        <w:t xml:space="preserve">If GTCS has a developer comfortable with the command line, a static site generator produces the fastest, most secure, and lowest-cost blog possible. Content is written in Markdown and compiled to HTML.</w:t>
      </w:r>
    </w:p>
    <w:p>
      <w:pPr>
        <w:pStyle w:val="ListParagraph"/>
        <w:numPr>
          <w:ilvl w:val="0"/>
          <w:numId w:val="2"/>
        </w:numPr>
        <w:spacing w:after="40" w:before="40"/>
      </w:pPr>
      <w:r>
        <w:rPr>
          <w:rFonts w:ascii="Georgia" w:cs="Georgia" w:eastAsia="Georgia" w:hAnsi="Georgia"/>
          <w:color w:val="2C3E6B"/>
          <w:sz w:val="22"/>
          <w:szCs w:val="22"/>
        </w:rPr>
        <w:t xml:space="preserve">Best for: developers who want maximum performance and zero hosting cost</w:t>
      </w:r>
    </w:p>
    <w:p>
      <w:pPr>
        <w:pStyle w:val="ListParagraph"/>
        <w:numPr>
          <w:ilvl w:val="0"/>
          <w:numId w:val="2"/>
        </w:numPr>
        <w:spacing w:after="40" w:before="40"/>
      </w:pPr>
      <w:r>
        <w:rPr>
          <w:rFonts w:ascii="Georgia" w:cs="Georgia" w:eastAsia="Georgia" w:hAnsi="Georgia"/>
          <w:color w:val="2C3E6B"/>
          <w:sz w:val="22"/>
          <w:szCs w:val="22"/>
        </w:rPr>
        <w:t xml:space="preserve">Hosting cost: £0 on Netlify or Cloudflare Pages</w:t>
      </w:r>
    </w:p>
    <w:p>
      <w:pPr>
        <w:pStyle w:val="ListParagraph"/>
        <w:numPr>
          <w:ilvl w:val="0"/>
          <w:numId w:val="2"/>
        </w:numPr>
        <w:spacing w:after="80" w:before="40"/>
      </w:pPr>
      <w:r>
        <w:rPr>
          <w:rFonts w:ascii="Georgia" w:cs="Georgia" w:eastAsia="Georgia" w:hAnsi="Georgia"/>
          <w:color w:val="2C3E6B"/>
          <w:sz w:val="22"/>
          <w:szCs w:val="22"/>
        </w:rPr>
        <w:t xml:space="preserve">Technical requirement: Git, Node.js, and CLI familiarity</w:t>
      </w:r>
    </w:p>
    <w:p>
      <w:pPr>
        <w:spacing w:after="160" w:before="0"/>
      </w:pPr>
      <w:r>
        <w:t xml:space="preserve"/>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000"/>
        <w:gridCol w:w="2400"/>
        <w:gridCol w:w="4626"/>
      </w:tblGrid>
      <w:tr>
        <w:tc>
          <w:tcPr>
            <w:tcW w:type="dxa" w:w="2000"/>
            <w:tcBorders>
              <w:top w:val="none" w:color="000000" w:sz="0"/>
              <w:left w:val="none" w:color="000000" w:sz="0"/>
              <w:bottom w:val="none" w:color="000000" w:sz="0"/>
              <w:right w:val="none" w:color="000000" w:sz="0"/>
            </w:tcBorders>
            <w:shd w:fill="1A2E5A" w:val="clear"/>
            <w:tcMar>
              <w:top w:type="dxa" w:w="120"/>
              <w:left w:type="dxa" w:w="160"/>
              <w:bottom w:type="dxa" w:w="120"/>
              <w:right w:type="dxa" w:w="120"/>
            </w:tcMar>
          </w:tcPr>
          <w:p>
            <w:r>
              <w:rPr>
                <w:rFonts w:ascii="Arial" w:cs="Arial" w:eastAsia="Arial" w:hAnsi="Arial"/>
                <w:b/>
                <w:bCs/>
                <w:color w:val="FFFFFF"/>
                <w:sz w:val="18"/>
                <w:szCs w:val="18"/>
              </w:rPr>
              <w:t xml:space="preserve">Component</w:t>
            </w:r>
          </w:p>
        </w:tc>
        <w:tc>
          <w:tcPr>
            <w:tcW w:type="dxa" w:w="2400"/>
            <w:tcBorders>
              <w:top w:val="none" w:color="000000" w:sz="0"/>
              <w:left w:val="none" w:color="000000" w:sz="0"/>
              <w:bottom w:val="none" w:color="000000" w:sz="0"/>
              <w:right w:val="none" w:color="000000" w:sz="0"/>
            </w:tcBorders>
            <w:shd w:fill="1A2E5A" w:val="clear"/>
            <w:tcMar>
              <w:top w:type="dxa" w:w="120"/>
              <w:left w:type="dxa" w:w="160"/>
              <w:bottom w:type="dxa" w:w="120"/>
              <w:right w:type="dxa" w:w="120"/>
            </w:tcMar>
          </w:tcPr>
          <w:p>
            <w:r>
              <w:rPr>
                <w:rFonts w:ascii="Arial" w:cs="Arial" w:eastAsia="Arial" w:hAnsi="Arial"/>
                <w:b/>
                <w:bCs/>
                <w:color w:val="FFFFFF"/>
                <w:sz w:val="18"/>
                <w:szCs w:val="18"/>
              </w:rPr>
              <w:t xml:space="preserve">Recommended Option</w:t>
            </w:r>
          </w:p>
        </w:tc>
        <w:tc>
          <w:tcPr>
            <w:tcW w:type="dxa" w:w="4626"/>
            <w:tcBorders>
              <w:top w:val="none" w:color="000000" w:sz="0"/>
              <w:left w:val="none" w:color="000000" w:sz="0"/>
              <w:bottom w:val="none" w:color="000000" w:sz="0"/>
              <w:right w:val="none" w:color="000000" w:sz="0"/>
            </w:tcBorders>
            <w:shd w:fill="1A2E5A" w:val="clear"/>
            <w:tcMar>
              <w:top w:type="dxa" w:w="120"/>
              <w:left w:type="dxa" w:w="160"/>
              <w:bottom w:type="dxa" w:w="120"/>
              <w:right w:type="dxa" w:w="120"/>
            </w:tcMar>
          </w:tcPr>
          <w:p>
            <w:r>
              <w:rPr>
                <w:rFonts w:ascii="Arial" w:cs="Arial" w:eastAsia="Arial" w:hAnsi="Arial"/>
                <w:b/>
                <w:bCs/>
                <w:color w:val="FFFFFF"/>
                <w:sz w:val="18"/>
                <w:szCs w:val="18"/>
              </w:rPr>
              <w:t xml:space="preserve">Notes</w:t>
            </w:r>
          </w:p>
        </w:tc>
      </w:tr>
      <w:tr>
        <w:tc>
          <w:tcPr>
            <w:tcW w:type="dxa" w:w="2000"/>
            <w:tcBorders>
              <w:top w:val="single" w:color="D0DFF2" w:sz="4"/>
              <w:left w:val="single" w:color="D0DFF2" w:sz="4"/>
              <w:bottom w:val="single" w:color="D0DFF2" w:sz="4"/>
              <w:right w:val="single" w:color="D0DFF2" w:sz="4"/>
            </w:tcBorders>
            <w:shd w:fill="F5F8FF" w:val="clear"/>
            <w:tcMar>
              <w:top w:type="dxa" w:w="100"/>
              <w:left w:type="dxa" w:w="160"/>
              <w:bottom w:type="dxa" w:w="100"/>
              <w:right w:type="dxa" w:w="120"/>
            </w:tcMar>
            <w:vAlign w:val="center"/>
          </w:tcPr>
          <w:p>
            <w:r>
              <w:rPr>
                <w:rFonts w:ascii="Arial" w:cs="Arial" w:eastAsia="Arial" w:hAnsi="Arial"/>
                <w:b/>
                <w:bCs/>
                <w:color w:val="1A2E5A"/>
                <w:sz w:val="20"/>
                <w:szCs w:val="20"/>
              </w:rPr>
              <w:t xml:space="preserve">Platform</w:t>
            </w:r>
          </w:p>
        </w:tc>
        <w:tc>
          <w:tcPr>
            <w:tcW w:type="dxa" w:w="2400"/>
            <w:tcBorders>
              <w:top w:val="single" w:color="D0DFF2" w:sz="4"/>
              <w:left w:val="single" w:color="D0DFF2" w:sz="4"/>
              <w:bottom w:val="single" w:color="D0DFF2" w:sz="4"/>
              <w:right w:val="single" w:color="D0DFF2" w:sz="4"/>
            </w:tcBorders>
            <w:shd w:fill="EBF2FA" w:val="clear"/>
            <w:tcMar>
              <w:top w:type="dxa" w:w="100"/>
              <w:left w:type="dxa" w:w="160"/>
              <w:bottom w:type="dxa" w:w="100"/>
              <w:right w:type="dxa" w:w="120"/>
            </w:tcMar>
            <w:vAlign w:val="center"/>
          </w:tcPr>
          <w:p>
            <w:r>
              <w:rPr>
                <w:rFonts w:ascii="Courier New" w:cs="Courier New" w:eastAsia="Courier New" w:hAnsi="Courier New"/>
                <w:color w:val="CC4400"/>
                <w:sz w:val="18"/>
                <w:szCs w:val="18"/>
              </w:rPr>
              <w:t xml:space="preserve">WordPress</w:t>
            </w:r>
          </w:p>
        </w:tc>
        <w:tc>
          <w:tcPr>
            <w:tcW w:type="dxa" w:w="4626"/>
            <w:tcBorders>
              <w:top w:val="single" w:color="D0DFF2" w:sz="4"/>
              <w:left w:val="single" w:color="D0DFF2" w:sz="4"/>
              <w:bottom w:val="single" w:color="D0DFF2" w:sz="4"/>
              <w:right w:val="single" w:color="D0DFF2" w:sz="4"/>
            </w:tcBorders>
            <w:shd w:fill="FFFFFF" w:val="clear"/>
            <w:tcMar>
              <w:top w:type="dxa" w:w="100"/>
              <w:left w:type="dxa" w:w="160"/>
              <w:bottom w:type="dxa" w:w="100"/>
              <w:right w:type="dxa" w:w="120"/>
            </w:tcMar>
            <w:vAlign w:val="center"/>
          </w:tcPr>
          <w:p>
            <w:r>
              <w:rPr>
                <w:rFonts w:ascii="Arial" w:cs="Arial" w:eastAsia="Arial" w:hAnsi="Arial"/>
                <w:color w:val="444444"/>
                <w:sz w:val="18"/>
                <w:szCs w:val="18"/>
              </w:rPr>
              <w:t xml:space="preserve">Best balance of flexibility and ease for a cooperative organisation</w:t>
            </w:r>
          </w:p>
        </w:tc>
      </w:tr>
      <w:tr>
        <w:tc>
          <w:tcPr>
            <w:tcW w:type="dxa" w:w="2000"/>
            <w:tcBorders>
              <w:top w:val="single" w:color="D0DFF2" w:sz="4"/>
              <w:left w:val="single" w:color="D0DFF2" w:sz="4"/>
              <w:bottom w:val="single" w:color="D0DFF2" w:sz="4"/>
              <w:right w:val="single" w:color="D0DFF2" w:sz="4"/>
            </w:tcBorders>
            <w:shd w:fill="F5F8FF" w:val="clear"/>
            <w:tcMar>
              <w:top w:type="dxa" w:w="100"/>
              <w:left w:type="dxa" w:w="160"/>
              <w:bottom w:type="dxa" w:w="100"/>
              <w:right w:type="dxa" w:w="120"/>
            </w:tcMar>
            <w:vAlign w:val="center"/>
          </w:tcPr>
          <w:p>
            <w:r>
              <w:rPr>
                <w:rFonts w:ascii="Arial" w:cs="Arial" w:eastAsia="Arial" w:hAnsi="Arial"/>
                <w:b/>
                <w:bCs/>
                <w:color w:val="1A2E5A"/>
                <w:sz w:val="20"/>
                <w:szCs w:val="20"/>
              </w:rPr>
              <w:t xml:space="preserve">Hosting</w:t>
            </w:r>
          </w:p>
        </w:tc>
        <w:tc>
          <w:tcPr>
            <w:tcW w:type="dxa" w:w="2400"/>
            <w:tcBorders>
              <w:top w:val="single" w:color="D0DFF2" w:sz="4"/>
              <w:left w:val="single" w:color="D0DFF2" w:sz="4"/>
              <w:bottom w:val="single" w:color="D0DFF2" w:sz="4"/>
              <w:right w:val="single" w:color="D0DFF2" w:sz="4"/>
            </w:tcBorders>
            <w:shd w:fill="EBF2FA" w:val="clear"/>
            <w:tcMar>
              <w:top w:type="dxa" w:w="100"/>
              <w:left w:type="dxa" w:w="160"/>
              <w:bottom w:type="dxa" w:w="100"/>
              <w:right w:type="dxa" w:w="120"/>
            </w:tcMar>
            <w:vAlign w:val="center"/>
          </w:tcPr>
          <w:p>
            <w:r>
              <w:rPr>
                <w:rFonts w:ascii="Courier New" w:cs="Courier New" w:eastAsia="Courier New" w:hAnsi="Courier New"/>
                <w:color w:val="CC4400"/>
                <w:sz w:val="18"/>
                <w:szCs w:val="18"/>
              </w:rPr>
              <w:t xml:space="preserve">SiteGround / Namecheap</w:t>
            </w:r>
          </w:p>
        </w:tc>
        <w:tc>
          <w:tcPr>
            <w:tcW w:type="dxa" w:w="4626"/>
            <w:tcBorders>
              <w:top w:val="single" w:color="D0DFF2" w:sz="4"/>
              <w:left w:val="single" w:color="D0DFF2" w:sz="4"/>
              <w:bottom w:val="single" w:color="D0DFF2" w:sz="4"/>
              <w:right w:val="single" w:color="D0DFF2" w:sz="4"/>
            </w:tcBorders>
            <w:shd w:fill="FFFFFF" w:val="clear"/>
            <w:tcMar>
              <w:top w:type="dxa" w:w="100"/>
              <w:left w:type="dxa" w:w="160"/>
              <w:bottom w:type="dxa" w:w="100"/>
              <w:right w:type="dxa" w:w="120"/>
            </w:tcMar>
            <w:vAlign w:val="center"/>
          </w:tcPr>
          <w:p>
            <w:r>
              <w:rPr>
                <w:rFonts w:ascii="Arial" w:cs="Arial" w:eastAsia="Arial" w:hAnsi="Arial"/>
                <w:color w:val="444444"/>
                <w:sz w:val="18"/>
                <w:szCs w:val="18"/>
              </w:rPr>
              <w:t xml:space="preserve">Reliable UK/Nigeria-accessible providers with good support</w:t>
            </w:r>
          </w:p>
        </w:tc>
      </w:tr>
      <w:tr>
        <w:tc>
          <w:tcPr>
            <w:tcW w:type="dxa" w:w="2000"/>
            <w:tcBorders>
              <w:top w:val="single" w:color="D0DFF2" w:sz="4"/>
              <w:left w:val="single" w:color="D0DFF2" w:sz="4"/>
              <w:bottom w:val="single" w:color="D0DFF2" w:sz="4"/>
              <w:right w:val="single" w:color="D0DFF2" w:sz="4"/>
            </w:tcBorders>
            <w:shd w:fill="F5F8FF" w:val="clear"/>
            <w:tcMar>
              <w:top w:type="dxa" w:w="100"/>
              <w:left w:type="dxa" w:w="160"/>
              <w:bottom w:type="dxa" w:w="100"/>
              <w:right w:type="dxa" w:w="120"/>
            </w:tcMar>
            <w:vAlign w:val="center"/>
          </w:tcPr>
          <w:p>
            <w:r>
              <w:rPr>
                <w:rFonts w:ascii="Arial" w:cs="Arial" w:eastAsia="Arial" w:hAnsi="Arial"/>
                <w:b/>
                <w:bCs/>
                <w:color w:val="1A2E5A"/>
                <w:sz w:val="20"/>
                <w:szCs w:val="20"/>
              </w:rPr>
              <w:t xml:space="preserve">Theme</w:t>
            </w:r>
          </w:p>
        </w:tc>
        <w:tc>
          <w:tcPr>
            <w:tcW w:type="dxa" w:w="2400"/>
            <w:tcBorders>
              <w:top w:val="single" w:color="D0DFF2" w:sz="4"/>
              <w:left w:val="single" w:color="D0DFF2" w:sz="4"/>
              <w:bottom w:val="single" w:color="D0DFF2" w:sz="4"/>
              <w:right w:val="single" w:color="D0DFF2" w:sz="4"/>
            </w:tcBorders>
            <w:shd w:fill="EBF2FA" w:val="clear"/>
            <w:tcMar>
              <w:top w:type="dxa" w:w="100"/>
              <w:left w:type="dxa" w:w="160"/>
              <w:bottom w:type="dxa" w:w="100"/>
              <w:right w:type="dxa" w:w="120"/>
            </w:tcMar>
            <w:vAlign w:val="center"/>
          </w:tcPr>
          <w:p>
            <w:r>
              <w:rPr>
                <w:rFonts w:ascii="Courier New" w:cs="Courier New" w:eastAsia="Courier New" w:hAnsi="Courier New"/>
                <w:color w:val="CC4400"/>
                <w:sz w:val="18"/>
                <w:szCs w:val="18"/>
              </w:rPr>
              <w:t xml:space="preserve">Kadence or Astra</w:t>
            </w:r>
          </w:p>
        </w:tc>
        <w:tc>
          <w:tcPr>
            <w:tcW w:type="dxa" w:w="4626"/>
            <w:tcBorders>
              <w:top w:val="single" w:color="D0DFF2" w:sz="4"/>
              <w:left w:val="single" w:color="D0DFF2" w:sz="4"/>
              <w:bottom w:val="single" w:color="D0DFF2" w:sz="4"/>
              <w:right w:val="single" w:color="D0DFF2" w:sz="4"/>
            </w:tcBorders>
            <w:shd w:fill="FFFFFF" w:val="clear"/>
            <w:tcMar>
              <w:top w:type="dxa" w:w="100"/>
              <w:left w:type="dxa" w:w="160"/>
              <w:bottom w:type="dxa" w:w="100"/>
              <w:right w:type="dxa" w:w="120"/>
            </w:tcMar>
            <w:vAlign w:val="center"/>
          </w:tcPr>
          <w:p>
            <w:r>
              <w:rPr>
                <w:rFonts w:ascii="Arial" w:cs="Arial" w:eastAsia="Arial" w:hAnsi="Arial"/>
                <w:color w:val="444444"/>
                <w:sz w:val="18"/>
                <w:szCs w:val="18"/>
              </w:rPr>
              <w:t xml:space="preserve">Free, fast, accessible, and fully customisable to GTCS brand colours</w:t>
            </w:r>
          </w:p>
        </w:tc>
      </w:tr>
      <w:tr>
        <w:tc>
          <w:tcPr>
            <w:tcW w:type="dxa" w:w="2000"/>
            <w:tcBorders>
              <w:top w:val="single" w:color="D0DFF2" w:sz="4"/>
              <w:left w:val="single" w:color="D0DFF2" w:sz="4"/>
              <w:bottom w:val="single" w:color="D0DFF2" w:sz="4"/>
              <w:right w:val="single" w:color="D0DFF2" w:sz="4"/>
            </w:tcBorders>
            <w:shd w:fill="F5F8FF" w:val="clear"/>
            <w:tcMar>
              <w:top w:type="dxa" w:w="100"/>
              <w:left w:type="dxa" w:w="160"/>
              <w:bottom w:type="dxa" w:w="100"/>
              <w:right w:type="dxa" w:w="120"/>
            </w:tcMar>
            <w:vAlign w:val="center"/>
          </w:tcPr>
          <w:p>
            <w:r>
              <w:rPr>
                <w:rFonts w:ascii="Arial" w:cs="Arial" w:eastAsia="Arial" w:hAnsi="Arial"/>
                <w:b/>
                <w:bCs/>
                <w:color w:val="1A2E5A"/>
                <w:sz w:val="20"/>
                <w:szCs w:val="20"/>
              </w:rPr>
              <w:t xml:space="preserve">Domain</w:t>
            </w:r>
          </w:p>
        </w:tc>
        <w:tc>
          <w:tcPr>
            <w:tcW w:type="dxa" w:w="2400"/>
            <w:tcBorders>
              <w:top w:val="single" w:color="D0DFF2" w:sz="4"/>
              <w:left w:val="single" w:color="D0DFF2" w:sz="4"/>
              <w:bottom w:val="single" w:color="D0DFF2" w:sz="4"/>
              <w:right w:val="single" w:color="D0DFF2" w:sz="4"/>
            </w:tcBorders>
            <w:shd w:fill="EBF2FA" w:val="clear"/>
            <w:tcMar>
              <w:top w:type="dxa" w:w="100"/>
              <w:left w:type="dxa" w:w="160"/>
              <w:bottom w:type="dxa" w:w="100"/>
              <w:right w:type="dxa" w:w="120"/>
            </w:tcMar>
            <w:vAlign w:val="center"/>
          </w:tcPr>
          <w:p>
            <w:r>
              <w:rPr>
                <w:rFonts w:ascii="Courier New" w:cs="Courier New" w:eastAsia="Courier New" w:hAnsi="Courier New"/>
                <w:color w:val="CC4400"/>
                <w:sz w:val="18"/>
                <w:szCs w:val="18"/>
              </w:rPr>
              <w:t xml:space="preserve">gtcs.coop or gtcsnigeria.org</w:t>
            </w:r>
          </w:p>
        </w:tc>
        <w:tc>
          <w:tcPr>
            <w:tcW w:type="dxa" w:w="4626"/>
            <w:tcBorders>
              <w:top w:val="single" w:color="D0DFF2" w:sz="4"/>
              <w:left w:val="single" w:color="D0DFF2" w:sz="4"/>
              <w:bottom w:val="single" w:color="D0DFF2" w:sz="4"/>
              <w:right w:val="single" w:color="D0DFF2" w:sz="4"/>
            </w:tcBorders>
            <w:shd w:fill="FFFFFF" w:val="clear"/>
            <w:tcMar>
              <w:top w:type="dxa" w:w="100"/>
              <w:left w:type="dxa" w:w="160"/>
              <w:bottom w:type="dxa" w:w="100"/>
              <w:right w:type="dxa" w:w="120"/>
            </w:tcMar>
            <w:vAlign w:val="center"/>
          </w:tcPr>
          <w:p>
            <w:r>
              <w:rPr>
                <w:rFonts w:ascii="Arial" w:cs="Arial" w:eastAsia="Arial" w:hAnsi="Arial"/>
                <w:color w:val="444444"/>
                <w:sz w:val="18"/>
                <w:szCs w:val="18"/>
              </w:rPr>
              <w:t xml:space="preserve">Register via Namecheap or 101domain; .coop TLD signals cooperative identity</w:t>
            </w:r>
          </w:p>
        </w:tc>
      </w:tr>
      <w:tr>
        <w:tc>
          <w:tcPr>
            <w:tcW w:type="dxa" w:w="2000"/>
            <w:tcBorders>
              <w:top w:val="single" w:color="D0DFF2" w:sz="4"/>
              <w:left w:val="single" w:color="D0DFF2" w:sz="4"/>
              <w:bottom w:val="single" w:color="D0DFF2" w:sz="4"/>
              <w:right w:val="single" w:color="D0DFF2" w:sz="4"/>
            </w:tcBorders>
            <w:shd w:fill="F5F8FF" w:val="clear"/>
            <w:tcMar>
              <w:top w:type="dxa" w:w="100"/>
              <w:left w:type="dxa" w:w="160"/>
              <w:bottom w:type="dxa" w:w="100"/>
              <w:right w:type="dxa" w:w="120"/>
            </w:tcMar>
            <w:vAlign w:val="center"/>
          </w:tcPr>
          <w:p>
            <w:r>
              <w:rPr>
                <w:rFonts w:ascii="Arial" w:cs="Arial" w:eastAsia="Arial" w:hAnsi="Arial"/>
                <w:b/>
                <w:bCs/>
                <w:color w:val="1A2E5A"/>
                <w:sz w:val="20"/>
                <w:szCs w:val="20"/>
              </w:rPr>
              <w:t xml:space="preserve">CDN</w:t>
            </w:r>
          </w:p>
        </w:tc>
        <w:tc>
          <w:tcPr>
            <w:tcW w:type="dxa" w:w="2400"/>
            <w:tcBorders>
              <w:top w:val="single" w:color="D0DFF2" w:sz="4"/>
              <w:left w:val="single" w:color="D0DFF2" w:sz="4"/>
              <w:bottom w:val="single" w:color="D0DFF2" w:sz="4"/>
              <w:right w:val="single" w:color="D0DFF2" w:sz="4"/>
            </w:tcBorders>
            <w:shd w:fill="EBF2FA" w:val="clear"/>
            <w:tcMar>
              <w:top w:type="dxa" w:w="100"/>
              <w:left w:type="dxa" w:w="160"/>
              <w:bottom w:type="dxa" w:w="100"/>
              <w:right w:type="dxa" w:w="120"/>
            </w:tcMar>
            <w:vAlign w:val="center"/>
          </w:tcPr>
          <w:p>
            <w:r>
              <w:rPr>
                <w:rFonts w:ascii="Courier New" w:cs="Courier New" w:eastAsia="Courier New" w:hAnsi="Courier New"/>
                <w:color w:val="CC4400"/>
                <w:sz w:val="18"/>
                <w:szCs w:val="18"/>
              </w:rPr>
              <w:t xml:space="preserve">Cloudflare (free)</w:t>
            </w:r>
          </w:p>
        </w:tc>
        <w:tc>
          <w:tcPr>
            <w:tcW w:type="dxa" w:w="4626"/>
            <w:tcBorders>
              <w:top w:val="single" w:color="D0DFF2" w:sz="4"/>
              <w:left w:val="single" w:color="D0DFF2" w:sz="4"/>
              <w:bottom w:val="single" w:color="D0DFF2" w:sz="4"/>
              <w:right w:val="single" w:color="D0DFF2" w:sz="4"/>
            </w:tcBorders>
            <w:shd w:fill="FFFFFF" w:val="clear"/>
            <w:tcMar>
              <w:top w:type="dxa" w:w="100"/>
              <w:left w:type="dxa" w:w="160"/>
              <w:bottom w:type="dxa" w:w="100"/>
              <w:right w:type="dxa" w:w="120"/>
            </w:tcMar>
            <w:vAlign w:val="center"/>
          </w:tcPr>
          <w:p>
            <w:r>
              <w:rPr>
                <w:rFonts w:ascii="Arial" w:cs="Arial" w:eastAsia="Arial" w:hAnsi="Arial"/>
                <w:color w:val="444444"/>
                <w:sz w:val="18"/>
                <w:szCs w:val="18"/>
              </w:rPr>
              <w:t xml:space="preserve">Speeds up delivery in Nigeria; adds DDoS protection</w:t>
            </w:r>
          </w:p>
        </w:tc>
      </w:tr>
      <w:tr>
        <w:tc>
          <w:tcPr>
            <w:tcW w:type="dxa" w:w="2000"/>
            <w:tcBorders>
              <w:top w:val="single" w:color="D0DFF2" w:sz="4"/>
              <w:left w:val="single" w:color="D0DFF2" w:sz="4"/>
              <w:bottom w:val="single" w:color="D0DFF2" w:sz="4"/>
              <w:right w:val="single" w:color="D0DFF2" w:sz="4"/>
            </w:tcBorders>
            <w:shd w:fill="F5F8FF" w:val="clear"/>
            <w:tcMar>
              <w:top w:type="dxa" w:w="100"/>
              <w:left w:type="dxa" w:w="160"/>
              <w:bottom w:type="dxa" w:w="100"/>
              <w:right w:type="dxa" w:w="120"/>
            </w:tcMar>
            <w:vAlign w:val="center"/>
          </w:tcPr>
          <w:p>
            <w:r>
              <w:rPr>
                <w:rFonts w:ascii="Arial" w:cs="Arial" w:eastAsia="Arial" w:hAnsi="Arial"/>
                <w:b/>
                <w:bCs/>
                <w:color w:val="1A2E5A"/>
                <w:sz w:val="20"/>
                <w:szCs w:val="20"/>
              </w:rPr>
              <w:t xml:space="preserve">SSL</w:t>
            </w:r>
          </w:p>
        </w:tc>
        <w:tc>
          <w:tcPr>
            <w:tcW w:type="dxa" w:w="2400"/>
            <w:tcBorders>
              <w:top w:val="single" w:color="D0DFF2" w:sz="4"/>
              <w:left w:val="single" w:color="D0DFF2" w:sz="4"/>
              <w:bottom w:val="single" w:color="D0DFF2" w:sz="4"/>
              <w:right w:val="single" w:color="D0DFF2" w:sz="4"/>
            </w:tcBorders>
            <w:shd w:fill="EBF2FA" w:val="clear"/>
            <w:tcMar>
              <w:top w:type="dxa" w:w="100"/>
              <w:left w:type="dxa" w:w="160"/>
              <w:bottom w:type="dxa" w:w="100"/>
              <w:right w:type="dxa" w:w="120"/>
            </w:tcMar>
            <w:vAlign w:val="center"/>
          </w:tcPr>
          <w:p>
            <w:r>
              <w:rPr>
                <w:rFonts w:ascii="Courier New" w:cs="Courier New" w:eastAsia="Courier New" w:hAnsi="Courier New"/>
                <w:color w:val="CC4400"/>
                <w:sz w:val="18"/>
                <w:szCs w:val="18"/>
              </w:rPr>
              <w:t xml:space="preserve">Let's Encrypt (free)</w:t>
            </w:r>
          </w:p>
        </w:tc>
        <w:tc>
          <w:tcPr>
            <w:tcW w:type="dxa" w:w="4626"/>
            <w:tcBorders>
              <w:top w:val="single" w:color="D0DFF2" w:sz="4"/>
              <w:left w:val="single" w:color="D0DFF2" w:sz="4"/>
              <w:bottom w:val="single" w:color="D0DFF2" w:sz="4"/>
              <w:right w:val="single" w:color="D0DFF2" w:sz="4"/>
            </w:tcBorders>
            <w:shd w:fill="FFFFFF" w:val="clear"/>
            <w:tcMar>
              <w:top w:type="dxa" w:w="100"/>
              <w:left w:type="dxa" w:w="160"/>
              <w:bottom w:type="dxa" w:w="100"/>
              <w:right w:type="dxa" w:w="120"/>
            </w:tcMar>
            <w:vAlign w:val="center"/>
          </w:tcPr>
          <w:p>
            <w:r>
              <w:rPr>
                <w:rFonts w:ascii="Arial" w:cs="Arial" w:eastAsia="Arial" w:hAnsi="Arial"/>
                <w:color w:val="444444"/>
                <w:sz w:val="18"/>
                <w:szCs w:val="18"/>
              </w:rPr>
              <w:t xml:space="preserve">Required for Google ranking; most hosts install this automatically</w:t>
            </w:r>
          </w:p>
        </w:tc>
      </w:tr>
    </w:tbl>
    <w:p>
      <w:pPr>
        <w:spacing w:after="280" w:before="0"/>
      </w:pPr>
      <w:r>
        <w:t xml:space="preserve"/>
      </w:r>
    </w:p>
    <w:p>
      <w:pPr>
        <w:pStyle w:val="Heading2"/>
      </w:pPr>
      <w:r>
        <w:rPr>
          <w:rFonts w:ascii="Arial" w:cs="Arial" w:eastAsia="Arial" w:hAnsi="Arial"/>
          <w:b/>
          <w:bCs/>
          <w:color w:val="1A2E5A"/>
          <w:sz w:val="28"/>
          <w:szCs w:val="28"/>
        </w:rPr>
        <w:t xml:space="preserve">Step 2: Structuring the Article in Your CMS</w:t>
      </w:r>
    </w:p>
    <w:p>
      <w:pPr>
        <w:spacing w:after="200" w:before="0"/>
        <w:jc w:val="both"/>
      </w:pPr>
      <w:r>
        <w:rPr>
          <w:rFonts w:ascii="Georgia" w:cs="Georgia" w:eastAsia="Georgia" w:hAnsi="Georgia"/>
          <w:color w:val="2C3E6B"/>
          <w:sz w:val="24"/>
          <w:szCs w:val="24"/>
        </w:rPr>
        <w:t xml:space="preserve">When you paste this article into WordPress, Ghost, or any CMS, apply the following structure consistently. This ensures correct rendering and good SEO.</w:t>
      </w:r>
    </w:p>
    <w:p>
      <w:pPr>
        <w:pStyle w:val="Heading3"/>
      </w:pPr>
      <w:r>
        <w:rPr>
          <w:rFonts w:ascii="Arial" w:cs="Arial" w:eastAsia="Arial" w:hAnsi="Arial"/>
          <w:b/>
          <w:bCs/>
          <w:color w:val="E87722"/>
          <w:sz w:val="24"/>
          <w:szCs w:val="24"/>
        </w:rPr>
        <w:t xml:space="preserve">Post metadata</w:t>
      </w:r>
    </w:p>
    <w:p>
      <w:pPr>
        <w:pStyle w:val="ListParagraph"/>
        <w:numPr>
          <w:ilvl w:val="0"/>
          <w:numId w:val="2"/>
        </w:numPr>
        <w:spacing w:after="40" w:before="40"/>
      </w:pPr>
      <w:r>
        <w:rPr>
          <w:rFonts w:ascii="Georgia" w:cs="Georgia" w:eastAsia="Georgia" w:hAnsi="Georgia"/>
          <w:color w:val="2C3E6B"/>
          <w:sz w:val="22"/>
          <w:szCs w:val="22"/>
        </w:rPr>
        <w:t xml:space="preserve">Title: From £28 to One Billion People: The Cooperative Story That Shapes GTCS Today</w:t>
      </w:r>
    </w:p>
    <w:p>
      <w:pPr>
        <w:pStyle w:val="ListParagraph"/>
        <w:numPr>
          <w:ilvl w:val="0"/>
          <w:numId w:val="2"/>
        </w:numPr>
        <w:spacing w:after="40" w:before="40"/>
      </w:pPr>
      <w:r>
        <w:rPr>
          <w:rFonts w:ascii="Courier New" w:cs="Courier New" w:eastAsia="Courier New" w:hAnsi="Courier New"/>
          <w:color w:val="2C3E6B"/>
          <w:sz w:val="22"/>
          <w:szCs w:val="22"/>
        </w:rPr>
        <w:t xml:space="preserve">Slug: gtcs-cooperative-history-rochdale-pioneers</w:t>
      </w:r>
    </w:p>
    <w:p>
      <w:pPr>
        <w:pStyle w:val="ListParagraph"/>
        <w:numPr>
          <w:ilvl w:val="0"/>
          <w:numId w:val="2"/>
        </w:numPr>
        <w:spacing w:after="40" w:before="40"/>
      </w:pPr>
      <w:r>
        <w:rPr>
          <w:rFonts w:ascii="Georgia" w:cs="Georgia" w:eastAsia="Georgia" w:hAnsi="Georgia"/>
          <w:color w:val="2C3E6B"/>
          <w:sz w:val="22"/>
          <w:szCs w:val="22"/>
        </w:rPr>
        <w:t xml:space="preserve">Category: Member Education / Cooperative Heritage</w:t>
      </w:r>
    </w:p>
    <w:p>
      <w:pPr>
        <w:pStyle w:val="ListParagraph"/>
        <w:numPr>
          <w:ilvl w:val="0"/>
          <w:numId w:val="2"/>
        </w:numPr>
        <w:spacing w:after="40" w:before="40"/>
      </w:pPr>
      <w:r>
        <w:rPr>
          <w:rFonts w:ascii="Georgia" w:cs="Georgia" w:eastAsia="Georgia" w:hAnsi="Georgia"/>
          <w:color w:val="2C3E6B"/>
          <w:sz w:val="22"/>
          <w:szCs w:val="22"/>
        </w:rPr>
        <w:t xml:space="preserve">Tags: cooperative history, Rochdale Pioneers, GTCS, thrift and credit, cooperative principles</w:t>
      </w:r>
    </w:p>
    <w:p>
      <w:pPr>
        <w:pStyle w:val="ListParagraph"/>
        <w:numPr>
          <w:ilvl w:val="0"/>
          <w:numId w:val="2"/>
        </w:numPr>
        <w:spacing w:after="80" w:before="40"/>
      </w:pPr>
      <w:r>
        <w:rPr>
          <w:rFonts w:ascii="Georgia" w:cs="Georgia" w:eastAsia="Georgia" w:hAnsi="Georgia"/>
          <w:color w:val="2C3E6B"/>
          <w:sz w:val="22"/>
          <w:szCs w:val="22"/>
        </w:rPr>
        <w:t xml:space="preserve">Author: GTCS Editorial Team</w:t>
      </w:r>
    </w:p>
    <w:p>
      <w:pPr>
        <w:pStyle w:val="Heading3"/>
      </w:pPr>
      <w:r>
        <w:rPr>
          <w:rFonts w:ascii="Arial" w:cs="Arial" w:eastAsia="Arial" w:hAnsi="Arial"/>
          <w:b/>
          <w:bCs/>
          <w:color w:val="E87722"/>
          <w:sz w:val="24"/>
          <w:szCs w:val="24"/>
        </w:rPr>
        <w:t xml:space="preserve">SEO meta description (160 characters max)</w:t>
      </w:r>
    </w:p>
    <w:p>
      <w:pPr>
        <w:pStyle w:val="Code"/>
      </w:pPr>
      <w:r>
        <w:rPr>
          <w:rFonts w:ascii="Courier New" w:cs="Courier New" w:eastAsia="Courier New" w:hAnsi="Courier New"/>
          <w:color w:val="1A1A1A"/>
          <w:sz w:val="18"/>
          <w:szCs w:val="18"/>
        </w:rPr>
        <w:t xml:space="preserve">Discover how 28 workers with £28 in 1844 built the cooperative model now serving 1 billion people — and why it matters to every GTCS member today.</w:t>
      </w:r>
    </w:p>
    <w:p>
      <w:pPr>
        <w:spacing w:after="120" w:before="0"/>
      </w:pPr>
      <w:r>
        <w:t xml:space="preserve"/>
      </w:r>
    </w:p>
    <w:p>
      <w:pPr>
        <w:pStyle w:val="Heading3"/>
      </w:pPr>
      <w:r>
        <w:rPr>
          <w:rFonts w:ascii="Arial" w:cs="Arial" w:eastAsia="Arial" w:hAnsi="Arial"/>
          <w:b/>
          <w:bCs/>
          <w:color w:val="E87722"/>
          <w:sz w:val="24"/>
          <w:szCs w:val="24"/>
        </w:rPr>
        <w:t xml:space="preserve">Open Graph image</w:t>
      </w:r>
    </w:p>
    <w:p>
      <w:pPr>
        <w:spacing w:after="200" w:before="0"/>
        <w:jc w:val="both"/>
      </w:pPr>
      <w:r>
        <w:rPr>
          <w:rFonts w:ascii="Georgia" w:cs="Georgia" w:eastAsia="Georgia" w:hAnsi="Georgia"/>
          <w:color w:val="2C3E6B"/>
          <w:sz w:val="24"/>
          <w:szCs w:val="24"/>
        </w:rPr>
        <w:t xml:space="preserve">Upload the GTCS infographic PNG (delivered alongside this document) as the featured image / Open Graph image. It will display when the post is shared on WhatsApp, Facebook, or Twitter/X. Recommended size: 1200 × 630px. The infographic is already at the right ratio; resize with any image editor if needed.</w:t>
      </w:r>
    </w:p>
    <w:p>
      <w:pPr>
        <w:spacing w:after="200" w:before="0"/>
      </w:pPr>
      <w:r>
        <w:t xml:space="preserve"/>
      </w:r>
    </w:p>
    <w:p>
      <w:pPr>
        <w:pStyle w:val="Heading2"/>
      </w:pPr>
      <w:r>
        <w:rPr>
          <w:rFonts w:ascii="Arial" w:cs="Arial" w:eastAsia="Arial" w:hAnsi="Arial"/>
          <w:b/>
          <w:bCs/>
          <w:color w:val="1A2E5A"/>
          <w:sz w:val="28"/>
          <w:szCs w:val="28"/>
        </w:rPr>
        <w:t xml:space="preserve">Step 3: Sourcing and Crediting Photographs</w:t>
      </w:r>
    </w:p>
    <w:p>
      <w:pPr>
        <w:spacing w:after="200" w:before="0"/>
        <w:jc w:val="both"/>
      </w:pPr>
      <w:r>
        <w:rPr>
          <w:rFonts w:ascii="Georgia" w:cs="Georgia" w:eastAsia="Georgia" w:hAnsi="Georgia"/>
          <w:color w:val="2C3E6B"/>
          <w:sz w:val="24"/>
          <w:szCs w:val="24"/>
        </w:rPr>
        <w:t xml:space="preserve">All historical photographs of the Rochdale Pioneers and Toad Lane are in the public domain or available under Creative Commons licences. Use the sources below. Never publish an image without a visible credit line — both for legal compliance and to model the transparency values that cooperatives are built on.</w:t>
      </w:r>
    </w:p>
    <w:p>
      <w:pPr>
        <w:spacing w:after="120" w:before="0"/>
      </w:pPr>
      <w:r>
        <w:t xml:space="preserve"/>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000"/>
        <w:gridCol w:w="2400"/>
        <w:gridCol w:w="4626"/>
      </w:tblGrid>
      <w:tr>
        <w:tc>
          <w:tcPr>
            <w:tcW w:type="dxa" w:w="2000"/>
            <w:tcBorders>
              <w:top w:val="none" w:color="000000" w:sz="0"/>
              <w:left w:val="none" w:color="000000" w:sz="0"/>
              <w:bottom w:val="none" w:color="000000" w:sz="0"/>
              <w:right w:val="none" w:color="000000" w:sz="0"/>
            </w:tcBorders>
            <w:shd w:fill="1A2E5A" w:val="clear"/>
            <w:tcMar>
              <w:top w:type="dxa" w:w="120"/>
              <w:left w:type="dxa" w:w="160"/>
              <w:bottom w:type="dxa" w:w="120"/>
              <w:right w:type="dxa" w:w="120"/>
            </w:tcMar>
          </w:tcPr>
          <w:p>
            <w:r>
              <w:rPr>
                <w:rFonts w:ascii="Arial" w:cs="Arial" w:eastAsia="Arial" w:hAnsi="Arial"/>
                <w:b/>
                <w:bCs/>
                <w:color w:val="FFFFFF"/>
                <w:sz w:val="18"/>
                <w:szCs w:val="18"/>
              </w:rPr>
              <w:t xml:space="preserve">Component</w:t>
            </w:r>
          </w:p>
        </w:tc>
        <w:tc>
          <w:tcPr>
            <w:tcW w:type="dxa" w:w="2400"/>
            <w:tcBorders>
              <w:top w:val="none" w:color="000000" w:sz="0"/>
              <w:left w:val="none" w:color="000000" w:sz="0"/>
              <w:bottom w:val="none" w:color="000000" w:sz="0"/>
              <w:right w:val="none" w:color="000000" w:sz="0"/>
            </w:tcBorders>
            <w:shd w:fill="1A2E5A" w:val="clear"/>
            <w:tcMar>
              <w:top w:type="dxa" w:w="120"/>
              <w:left w:type="dxa" w:w="160"/>
              <w:bottom w:type="dxa" w:w="120"/>
              <w:right w:type="dxa" w:w="120"/>
            </w:tcMar>
          </w:tcPr>
          <w:p>
            <w:r>
              <w:rPr>
                <w:rFonts w:ascii="Arial" w:cs="Arial" w:eastAsia="Arial" w:hAnsi="Arial"/>
                <w:b/>
                <w:bCs/>
                <w:color w:val="FFFFFF"/>
                <w:sz w:val="18"/>
                <w:szCs w:val="18"/>
              </w:rPr>
              <w:t xml:space="preserve">Recommended Option</w:t>
            </w:r>
          </w:p>
        </w:tc>
        <w:tc>
          <w:tcPr>
            <w:tcW w:type="dxa" w:w="4626"/>
            <w:tcBorders>
              <w:top w:val="none" w:color="000000" w:sz="0"/>
              <w:left w:val="none" w:color="000000" w:sz="0"/>
              <w:bottom w:val="none" w:color="000000" w:sz="0"/>
              <w:right w:val="none" w:color="000000" w:sz="0"/>
            </w:tcBorders>
            <w:shd w:fill="1A2E5A" w:val="clear"/>
            <w:tcMar>
              <w:top w:type="dxa" w:w="120"/>
              <w:left w:type="dxa" w:w="160"/>
              <w:bottom w:type="dxa" w:w="120"/>
              <w:right w:type="dxa" w:w="120"/>
            </w:tcMar>
          </w:tcPr>
          <w:p>
            <w:r>
              <w:rPr>
                <w:rFonts w:ascii="Arial" w:cs="Arial" w:eastAsia="Arial" w:hAnsi="Arial"/>
                <w:b/>
                <w:bCs/>
                <w:color w:val="FFFFFF"/>
                <w:sz w:val="18"/>
                <w:szCs w:val="18"/>
              </w:rPr>
              <w:t xml:space="preserve">Notes</w:t>
            </w:r>
          </w:p>
        </w:tc>
      </w:tr>
      <w:tr>
        <w:tc>
          <w:tcPr>
            <w:tcW w:type="dxa" w:w="2000"/>
            <w:tcBorders>
              <w:top w:val="single" w:color="D0DFF2" w:sz="4"/>
              <w:left w:val="single" w:color="D0DFF2" w:sz="4"/>
              <w:bottom w:val="single" w:color="D0DFF2" w:sz="4"/>
              <w:right w:val="single" w:color="D0DFF2" w:sz="4"/>
            </w:tcBorders>
            <w:shd w:fill="F5F8FF" w:val="clear"/>
            <w:tcMar>
              <w:top w:type="dxa" w:w="100"/>
              <w:left w:type="dxa" w:w="160"/>
              <w:bottom w:type="dxa" w:w="100"/>
              <w:right w:type="dxa" w:w="120"/>
            </w:tcMar>
            <w:vAlign w:val="center"/>
          </w:tcPr>
          <w:p>
            <w:r>
              <w:rPr>
                <w:rFonts w:ascii="Arial" w:cs="Arial" w:eastAsia="Arial" w:hAnsi="Arial"/>
                <w:b/>
                <w:bCs/>
                <w:color w:val="1A2E5A"/>
                <w:sz w:val="20"/>
                <w:szCs w:val="20"/>
              </w:rPr>
              <w:t xml:space="preserve">Toad Lane exterior</w:t>
            </w:r>
          </w:p>
        </w:tc>
        <w:tc>
          <w:tcPr>
            <w:tcW w:type="dxa" w:w="2400"/>
            <w:tcBorders>
              <w:top w:val="single" w:color="D0DFF2" w:sz="4"/>
              <w:left w:val="single" w:color="D0DFF2" w:sz="4"/>
              <w:bottom w:val="single" w:color="D0DFF2" w:sz="4"/>
              <w:right w:val="single" w:color="D0DFF2" w:sz="4"/>
            </w:tcBorders>
            <w:shd w:fill="EBF2FA" w:val="clear"/>
            <w:tcMar>
              <w:top w:type="dxa" w:w="100"/>
              <w:left w:type="dxa" w:w="160"/>
              <w:bottom w:type="dxa" w:w="100"/>
              <w:right w:type="dxa" w:w="120"/>
            </w:tcMar>
            <w:vAlign w:val="center"/>
          </w:tcPr>
          <w:p>
            <w:r>
              <w:rPr>
                <w:rFonts w:ascii="Courier New" w:cs="Courier New" w:eastAsia="Courier New" w:hAnsi="Courier New"/>
                <w:color w:val="CC4400"/>
                <w:sz w:val="18"/>
                <w:szCs w:val="18"/>
              </w:rPr>
              <w:t xml:space="preserve">Elliott Brown / Flickr</w:t>
            </w:r>
          </w:p>
        </w:tc>
        <w:tc>
          <w:tcPr>
            <w:tcW w:type="dxa" w:w="4626"/>
            <w:tcBorders>
              <w:top w:val="single" w:color="D0DFF2" w:sz="4"/>
              <w:left w:val="single" w:color="D0DFF2" w:sz="4"/>
              <w:bottom w:val="single" w:color="D0DFF2" w:sz="4"/>
              <w:right w:val="single" w:color="D0DFF2" w:sz="4"/>
            </w:tcBorders>
            <w:shd w:fill="FFFFFF" w:val="clear"/>
            <w:tcMar>
              <w:top w:type="dxa" w:w="100"/>
              <w:left w:type="dxa" w:w="160"/>
              <w:bottom w:type="dxa" w:w="100"/>
              <w:right w:type="dxa" w:w="120"/>
            </w:tcMar>
            <w:vAlign w:val="center"/>
          </w:tcPr>
          <w:p>
            <w:r>
              <w:rPr>
                <w:rFonts w:ascii="Arial" w:cs="Arial" w:eastAsia="Arial" w:hAnsi="Arial"/>
                <w:color w:val="444444"/>
                <w:sz w:val="18"/>
                <w:szCs w:val="18"/>
              </w:rPr>
              <w:t xml:space="preserve">CC BY 2.0 — search Flickr for ‘Toad Lane Rochdale’; download and credit in caption</w:t>
            </w:r>
          </w:p>
        </w:tc>
      </w:tr>
      <w:tr>
        <w:tc>
          <w:tcPr>
            <w:tcW w:type="dxa" w:w="2000"/>
            <w:tcBorders>
              <w:top w:val="single" w:color="D0DFF2" w:sz="4"/>
              <w:left w:val="single" w:color="D0DFF2" w:sz="4"/>
              <w:bottom w:val="single" w:color="D0DFF2" w:sz="4"/>
              <w:right w:val="single" w:color="D0DFF2" w:sz="4"/>
            </w:tcBorders>
            <w:shd w:fill="F5F8FF" w:val="clear"/>
            <w:tcMar>
              <w:top w:type="dxa" w:w="100"/>
              <w:left w:type="dxa" w:w="160"/>
              <w:bottom w:type="dxa" w:w="100"/>
              <w:right w:type="dxa" w:w="120"/>
            </w:tcMar>
            <w:vAlign w:val="center"/>
          </w:tcPr>
          <w:p>
            <w:r>
              <w:rPr>
                <w:rFonts w:ascii="Arial" w:cs="Arial" w:eastAsia="Arial" w:hAnsi="Arial"/>
                <w:b/>
                <w:bCs/>
                <w:color w:val="1A2E5A"/>
                <w:sz w:val="20"/>
                <w:szCs w:val="20"/>
              </w:rPr>
              <w:t xml:space="preserve">Store interior</w:t>
            </w:r>
          </w:p>
        </w:tc>
        <w:tc>
          <w:tcPr>
            <w:tcW w:type="dxa" w:w="2400"/>
            <w:tcBorders>
              <w:top w:val="single" w:color="D0DFF2" w:sz="4"/>
              <w:left w:val="single" w:color="D0DFF2" w:sz="4"/>
              <w:bottom w:val="single" w:color="D0DFF2" w:sz="4"/>
              <w:right w:val="single" w:color="D0DFF2" w:sz="4"/>
            </w:tcBorders>
            <w:shd w:fill="EBF2FA" w:val="clear"/>
            <w:tcMar>
              <w:top w:type="dxa" w:w="100"/>
              <w:left w:type="dxa" w:w="160"/>
              <w:bottom w:type="dxa" w:w="100"/>
              <w:right w:type="dxa" w:w="120"/>
            </w:tcMar>
            <w:vAlign w:val="center"/>
          </w:tcPr>
          <w:p>
            <w:r>
              <w:rPr>
                <w:rFonts w:ascii="Courier New" w:cs="Courier New" w:eastAsia="Courier New" w:hAnsi="Courier New"/>
                <w:color w:val="CC4400"/>
                <w:sz w:val="18"/>
                <w:szCs w:val="18"/>
              </w:rPr>
              <w:t xml:space="preserve">Rochdale Pioneers Museum</w:t>
            </w:r>
          </w:p>
        </w:tc>
        <w:tc>
          <w:tcPr>
            <w:tcW w:type="dxa" w:w="4626"/>
            <w:tcBorders>
              <w:top w:val="single" w:color="D0DFF2" w:sz="4"/>
              <w:left w:val="single" w:color="D0DFF2" w:sz="4"/>
              <w:bottom w:val="single" w:color="D0DFF2" w:sz="4"/>
              <w:right w:val="single" w:color="D0DFF2" w:sz="4"/>
            </w:tcBorders>
            <w:shd w:fill="FFFFFF" w:val="clear"/>
            <w:tcMar>
              <w:top w:type="dxa" w:w="100"/>
              <w:left w:type="dxa" w:w="160"/>
              <w:bottom w:type="dxa" w:w="100"/>
              <w:right w:type="dxa" w:w="120"/>
            </w:tcMar>
            <w:vAlign w:val="center"/>
          </w:tcPr>
          <w:p>
            <w:r>
              <w:rPr>
                <w:rFonts w:ascii="Arial" w:cs="Arial" w:eastAsia="Arial" w:hAnsi="Arial"/>
                <w:color w:val="444444"/>
                <w:sz w:val="18"/>
                <w:szCs w:val="18"/>
              </w:rPr>
              <w:t xml:space="preserve">Contact rochdalepioneersmuseum.coop for press images; free for editorial use</w:t>
            </w:r>
          </w:p>
        </w:tc>
      </w:tr>
      <w:tr>
        <w:tc>
          <w:tcPr>
            <w:tcW w:type="dxa" w:w="2000"/>
            <w:tcBorders>
              <w:top w:val="single" w:color="D0DFF2" w:sz="4"/>
              <w:left w:val="single" w:color="D0DFF2" w:sz="4"/>
              <w:bottom w:val="single" w:color="D0DFF2" w:sz="4"/>
              <w:right w:val="single" w:color="D0DFF2" w:sz="4"/>
            </w:tcBorders>
            <w:shd w:fill="F5F8FF" w:val="clear"/>
            <w:tcMar>
              <w:top w:type="dxa" w:w="100"/>
              <w:left w:type="dxa" w:w="160"/>
              <w:bottom w:type="dxa" w:w="100"/>
              <w:right w:type="dxa" w:w="120"/>
            </w:tcMar>
            <w:vAlign w:val="center"/>
          </w:tcPr>
          <w:p>
            <w:r>
              <w:rPr>
                <w:rFonts w:ascii="Arial" w:cs="Arial" w:eastAsia="Arial" w:hAnsi="Arial"/>
                <w:b/>
                <w:bCs/>
                <w:color w:val="1A2E5A"/>
                <w:sz w:val="20"/>
                <w:szCs w:val="20"/>
              </w:rPr>
              <w:t xml:space="preserve">Pioneers group photo</w:t>
            </w:r>
          </w:p>
        </w:tc>
        <w:tc>
          <w:tcPr>
            <w:tcW w:type="dxa" w:w="2400"/>
            <w:tcBorders>
              <w:top w:val="single" w:color="D0DFF2" w:sz="4"/>
              <w:left w:val="single" w:color="D0DFF2" w:sz="4"/>
              <w:bottom w:val="single" w:color="D0DFF2" w:sz="4"/>
              <w:right w:val="single" w:color="D0DFF2" w:sz="4"/>
            </w:tcBorders>
            <w:shd w:fill="EBF2FA" w:val="clear"/>
            <w:tcMar>
              <w:top w:type="dxa" w:w="100"/>
              <w:left w:type="dxa" w:w="160"/>
              <w:bottom w:type="dxa" w:w="100"/>
              <w:right w:type="dxa" w:w="120"/>
            </w:tcMar>
            <w:vAlign w:val="center"/>
          </w:tcPr>
          <w:p>
            <w:r>
              <w:rPr>
                <w:rFonts w:ascii="Courier New" w:cs="Courier New" w:eastAsia="Courier New" w:hAnsi="Courier New"/>
                <w:color w:val="CC4400"/>
                <w:sz w:val="18"/>
                <w:szCs w:val="18"/>
              </w:rPr>
              <w:t xml:space="preserve">Co-operative Heritage Trust</w:t>
            </w:r>
          </w:p>
        </w:tc>
        <w:tc>
          <w:tcPr>
            <w:tcW w:type="dxa" w:w="4626"/>
            <w:tcBorders>
              <w:top w:val="single" w:color="D0DFF2" w:sz="4"/>
              <w:left w:val="single" w:color="D0DFF2" w:sz="4"/>
              <w:bottom w:val="single" w:color="D0DFF2" w:sz="4"/>
              <w:right w:val="single" w:color="D0DFF2" w:sz="4"/>
            </w:tcBorders>
            <w:shd w:fill="FFFFFF" w:val="clear"/>
            <w:tcMar>
              <w:top w:type="dxa" w:w="100"/>
              <w:left w:type="dxa" w:w="160"/>
              <w:bottom w:type="dxa" w:w="100"/>
              <w:right w:type="dxa" w:w="120"/>
            </w:tcMar>
            <w:vAlign w:val="center"/>
          </w:tcPr>
          <w:p>
            <w:r>
              <w:rPr>
                <w:rFonts w:ascii="Arial" w:cs="Arial" w:eastAsia="Arial" w:hAnsi="Arial"/>
                <w:color w:val="444444"/>
                <w:sz w:val="18"/>
                <w:szCs w:val="18"/>
              </w:rPr>
              <w:t xml:space="preserve">Public domain — available at co-operativeheritage.coop</w:t>
            </w:r>
          </w:p>
        </w:tc>
      </w:tr>
      <w:tr>
        <w:tc>
          <w:tcPr>
            <w:tcW w:type="dxa" w:w="2000"/>
            <w:tcBorders>
              <w:top w:val="single" w:color="D0DFF2" w:sz="4"/>
              <w:left w:val="single" w:color="D0DFF2" w:sz="4"/>
              <w:bottom w:val="single" w:color="D0DFF2" w:sz="4"/>
              <w:right w:val="single" w:color="D0DFF2" w:sz="4"/>
            </w:tcBorders>
            <w:shd w:fill="F5F8FF" w:val="clear"/>
            <w:tcMar>
              <w:top w:type="dxa" w:w="100"/>
              <w:left w:type="dxa" w:w="160"/>
              <w:bottom w:type="dxa" w:w="100"/>
              <w:right w:type="dxa" w:w="120"/>
            </w:tcMar>
            <w:vAlign w:val="center"/>
          </w:tcPr>
          <w:p>
            <w:r>
              <w:rPr>
                <w:rFonts w:ascii="Arial" w:cs="Arial" w:eastAsia="Arial" w:hAnsi="Arial"/>
                <w:b/>
                <w:bCs/>
                <w:color w:val="1A2E5A"/>
                <w:sz w:val="20"/>
                <w:szCs w:val="20"/>
              </w:rPr>
              <w:t xml:space="preserve">Historic maps/prints</w:t>
            </w:r>
          </w:p>
        </w:tc>
        <w:tc>
          <w:tcPr>
            <w:tcW w:type="dxa" w:w="2400"/>
            <w:tcBorders>
              <w:top w:val="single" w:color="D0DFF2" w:sz="4"/>
              <w:left w:val="single" w:color="D0DFF2" w:sz="4"/>
              <w:bottom w:val="single" w:color="D0DFF2" w:sz="4"/>
              <w:right w:val="single" w:color="D0DFF2" w:sz="4"/>
            </w:tcBorders>
            <w:shd w:fill="EBF2FA" w:val="clear"/>
            <w:tcMar>
              <w:top w:type="dxa" w:w="100"/>
              <w:left w:type="dxa" w:w="160"/>
              <w:bottom w:type="dxa" w:w="100"/>
              <w:right w:type="dxa" w:w="120"/>
            </w:tcMar>
            <w:vAlign w:val="center"/>
          </w:tcPr>
          <w:p>
            <w:r>
              <w:rPr>
                <w:rFonts w:ascii="Courier New" w:cs="Courier New" w:eastAsia="Courier New" w:hAnsi="Courier New"/>
                <w:color w:val="CC4400"/>
                <w:sz w:val="18"/>
                <w:szCs w:val="18"/>
              </w:rPr>
              <w:t xml:space="preserve">Wikimedia Commons</w:t>
            </w:r>
          </w:p>
        </w:tc>
        <w:tc>
          <w:tcPr>
            <w:tcW w:type="dxa" w:w="4626"/>
            <w:tcBorders>
              <w:top w:val="single" w:color="D0DFF2" w:sz="4"/>
              <w:left w:val="single" w:color="D0DFF2" w:sz="4"/>
              <w:bottom w:val="single" w:color="D0DFF2" w:sz="4"/>
              <w:right w:val="single" w:color="D0DFF2" w:sz="4"/>
            </w:tcBorders>
            <w:shd w:fill="FFFFFF" w:val="clear"/>
            <w:tcMar>
              <w:top w:type="dxa" w:w="100"/>
              <w:left w:type="dxa" w:w="160"/>
              <w:bottom w:type="dxa" w:w="100"/>
              <w:right w:type="dxa" w:w="120"/>
            </w:tcMar>
            <w:vAlign w:val="center"/>
          </w:tcPr>
          <w:p>
            <w:r>
              <w:rPr>
                <w:rFonts w:ascii="Arial" w:cs="Arial" w:eastAsia="Arial" w:hAnsi="Arial"/>
                <w:color w:val="444444"/>
                <w:sz w:val="18"/>
                <w:szCs w:val="18"/>
              </w:rPr>
              <w:t xml:space="preserve">Filter by CC BY or Public Domain at commons.wikimedia.org</w:t>
            </w:r>
          </w:p>
        </w:tc>
      </w:tr>
      <w:tr>
        <w:tc>
          <w:tcPr>
            <w:tcW w:type="dxa" w:w="2000"/>
            <w:tcBorders>
              <w:top w:val="single" w:color="D0DFF2" w:sz="4"/>
              <w:left w:val="single" w:color="D0DFF2" w:sz="4"/>
              <w:bottom w:val="single" w:color="D0DFF2" w:sz="4"/>
              <w:right w:val="single" w:color="D0DFF2" w:sz="4"/>
            </w:tcBorders>
            <w:shd w:fill="F5F8FF" w:val="clear"/>
            <w:tcMar>
              <w:top w:type="dxa" w:w="100"/>
              <w:left w:type="dxa" w:w="160"/>
              <w:bottom w:type="dxa" w:w="100"/>
              <w:right w:type="dxa" w:w="120"/>
            </w:tcMar>
            <w:vAlign w:val="center"/>
          </w:tcPr>
          <w:p>
            <w:r>
              <w:rPr>
                <w:rFonts w:ascii="Arial" w:cs="Arial" w:eastAsia="Arial" w:hAnsi="Arial"/>
                <w:b/>
                <w:bCs/>
                <w:color w:val="1A2E5A"/>
                <w:sz w:val="20"/>
                <w:szCs w:val="20"/>
              </w:rPr>
              <w:t xml:space="preserve">Modern coop photos</w:t>
            </w:r>
          </w:p>
        </w:tc>
        <w:tc>
          <w:tcPr>
            <w:tcW w:type="dxa" w:w="2400"/>
            <w:tcBorders>
              <w:top w:val="single" w:color="D0DFF2" w:sz="4"/>
              <w:left w:val="single" w:color="D0DFF2" w:sz="4"/>
              <w:bottom w:val="single" w:color="D0DFF2" w:sz="4"/>
              <w:right w:val="single" w:color="D0DFF2" w:sz="4"/>
            </w:tcBorders>
            <w:shd w:fill="EBF2FA" w:val="clear"/>
            <w:tcMar>
              <w:top w:type="dxa" w:w="100"/>
              <w:left w:type="dxa" w:w="160"/>
              <w:bottom w:type="dxa" w:w="100"/>
              <w:right w:type="dxa" w:w="120"/>
            </w:tcMar>
            <w:vAlign w:val="center"/>
          </w:tcPr>
          <w:p>
            <w:r>
              <w:rPr>
                <w:rFonts w:ascii="Courier New" w:cs="Courier New" w:eastAsia="Courier New" w:hAnsi="Courier New"/>
                <w:color w:val="CC4400"/>
                <w:sz w:val="18"/>
                <w:szCs w:val="18"/>
              </w:rPr>
              <w:t xml:space="preserve">ICA Photo Library</w:t>
            </w:r>
          </w:p>
        </w:tc>
        <w:tc>
          <w:tcPr>
            <w:tcW w:type="dxa" w:w="4626"/>
            <w:tcBorders>
              <w:top w:val="single" w:color="D0DFF2" w:sz="4"/>
              <w:left w:val="single" w:color="D0DFF2" w:sz="4"/>
              <w:bottom w:val="single" w:color="D0DFF2" w:sz="4"/>
              <w:right w:val="single" w:color="D0DFF2" w:sz="4"/>
            </w:tcBorders>
            <w:shd w:fill="FFFFFF" w:val="clear"/>
            <w:tcMar>
              <w:top w:type="dxa" w:w="100"/>
              <w:left w:type="dxa" w:w="160"/>
              <w:bottom w:type="dxa" w:w="100"/>
              <w:right w:type="dxa" w:w="120"/>
            </w:tcMar>
            <w:vAlign w:val="center"/>
          </w:tcPr>
          <w:p>
            <w:r>
              <w:rPr>
                <w:rFonts w:ascii="Arial" w:cs="Arial" w:eastAsia="Arial" w:hAnsi="Arial"/>
                <w:color w:val="444444"/>
                <w:sz w:val="18"/>
                <w:szCs w:val="18"/>
              </w:rPr>
              <w:t xml:space="preserve">Free for media use; credit: International Co-operative Alliance / ica.coop</w:t>
            </w:r>
          </w:p>
        </w:tc>
      </w:tr>
      <w:tr>
        <w:tc>
          <w:tcPr>
            <w:tcW w:type="dxa" w:w="2000"/>
            <w:tcBorders>
              <w:top w:val="single" w:color="D0DFF2" w:sz="4"/>
              <w:left w:val="single" w:color="D0DFF2" w:sz="4"/>
              <w:bottom w:val="single" w:color="D0DFF2" w:sz="4"/>
              <w:right w:val="single" w:color="D0DFF2" w:sz="4"/>
            </w:tcBorders>
            <w:shd w:fill="F5F8FF" w:val="clear"/>
            <w:tcMar>
              <w:top w:type="dxa" w:w="100"/>
              <w:left w:type="dxa" w:w="160"/>
              <w:bottom w:type="dxa" w:w="100"/>
              <w:right w:type="dxa" w:w="120"/>
            </w:tcMar>
            <w:vAlign w:val="center"/>
          </w:tcPr>
          <w:p>
            <w:r>
              <w:rPr>
                <w:rFonts w:ascii="Arial" w:cs="Arial" w:eastAsia="Arial" w:hAnsi="Arial"/>
                <w:b/>
                <w:bCs/>
                <w:color w:val="1A2E5A"/>
                <w:sz w:val="20"/>
                <w:szCs w:val="20"/>
              </w:rPr>
              <w:t xml:space="preserve">Nigeria cooperative</w:t>
            </w:r>
          </w:p>
        </w:tc>
        <w:tc>
          <w:tcPr>
            <w:tcW w:type="dxa" w:w="2400"/>
            <w:tcBorders>
              <w:top w:val="single" w:color="D0DFF2" w:sz="4"/>
              <w:left w:val="single" w:color="D0DFF2" w:sz="4"/>
              <w:bottom w:val="single" w:color="D0DFF2" w:sz="4"/>
              <w:right w:val="single" w:color="D0DFF2" w:sz="4"/>
            </w:tcBorders>
            <w:shd w:fill="EBF2FA" w:val="clear"/>
            <w:tcMar>
              <w:top w:type="dxa" w:w="100"/>
              <w:left w:type="dxa" w:w="160"/>
              <w:bottom w:type="dxa" w:w="100"/>
              <w:right w:type="dxa" w:w="120"/>
            </w:tcMar>
            <w:vAlign w:val="center"/>
          </w:tcPr>
          <w:p>
            <w:r>
              <w:rPr>
                <w:rFonts w:ascii="Courier New" w:cs="Courier New" w:eastAsia="Courier New" w:hAnsi="Courier New"/>
                <w:color w:val="CC4400"/>
                <w:sz w:val="18"/>
                <w:szCs w:val="18"/>
              </w:rPr>
              <w:t xml:space="preserve">FAO / Flickr</w:t>
            </w:r>
          </w:p>
        </w:tc>
        <w:tc>
          <w:tcPr>
            <w:tcW w:type="dxa" w:w="4626"/>
            <w:tcBorders>
              <w:top w:val="single" w:color="D0DFF2" w:sz="4"/>
              <w:left w:val="single" w:color="D0DFF2" w:sz="4"/>
              <w:bottom w:val="single" w:color="D0DFF2" w:sz="4"/>
              <w:right w:val="single" w:color="D0DFF2" w:sz="4"/>
            </w:tcBorders>
            <w:shd w:fill="FFFFFF" w:val="clear"/>
            <w:tcMar>
              <w:top w:type="dxa" w:w="100"/>
              <w:left w:type="dxa" w:w="160"/>
              <w:bottom w:type="dxa" w:w="100"/>
              <w:right w:type="dxa" w:w="120"/>
            </w:tcMar>
            <w:vAlign w:val="center"/>
          </w:tcPr>
          <w:p>
            <w:r>
              <w:rPr>
                <w:rFonts w:ascii="Arial" w:cs="Arial" w:eastAsia="Arial" w:hAnsi="Arial"/>
                <w:color w:val="444444"/>
                <w:sz w:val="18"/>
                <w:szCs w:val="18"/>
              </w:rPr>
              <w:t xml:space="preserve">CC BY-NC-SA 2.0 — search Flickr for ‘Nigeria cooperative’</w:t>
            </w:r>
          </w:p>
        </w:tc>
      </w:tr>
    </w:tbl>
    <w:p>
      <w:pPr>
        <w:spacing w:after="200" w:before="0"/>
      </w:pPr>
      <w:r>
        <w:t xml:space="preserve"/>
      </w:r>
    </w:p>
    <w:p>
      <w:pPr>
        <w:pStyle w:val="Heading3"/>
      </w:pPr>
      <w:r>
        <w:rPr>
          <w:rFonts w:ascii="Arial" w:cs="Arial" w:eastAsia="Arial" w:hAnsi="Arial"/>
          <w:b/>
          <w:bCs/>
          <w:color w:val="E87722"/>
          <w:sz w:val="24"/>
          <w:szCs w:val="24"/>
        </w:rPr>
        <w:t xml:space="preserve">Caption format to use on every image</w:t>
      </w:r>
    </w:p>
    <w:p>
      <w:pPr>
        <w:pStyle w:val="Code"/>
      </w:pPr>
      <w:r>
        <w:rPr>
          <w:rFonts w:ascii="Courier New" w:cs="Courier New" w:eastAsia="Courier New" w:hAnsi="Courier New"/>
          <w:color w:val="1A1A1A"/>
          <w:sz w:val="18"/>
          <w:szCs w:val="18"/>
        </w:rPr>
        <w:t xml:space="preserve">[Descriptive sentence about what the image shows]. Photo credit: [Photographer Name] / [Source] ([Licence])</w:t>
      </w:r>
    </w:p>
    <w:p>
      <w:pPr>
        <w:spacing w:after="160" w:before="0"/>
      </w:pPr>
      <w:r>
        <w:t xml:space="preserve"/>
      </w:r>
    </w:p>
    <w:p>
      <w:pPr>
        <w:spacing w:after="200" w:before="0"/>
        <w:jc w:val="both"/>
      </w:pPr>
      <w:r>
        <w:rPr>
          <w:rFonts w:ascii="Georgia" w:cs="Georgia" w:eastAsia="Georgia" w:hAnsi="Georgia"/>
          <w:color w:val="2C3E6B"/>
          <w:sz w:val="24"/>
          <w:szCs w:val="24"/>
        </w:rPr>
        <w:t xml:space="preserve">Example:</w:t>
      </w:r>
    </w:p>
    <w:p>
      <w:pPr>
        <w:pStyle w:val="Code"/>
      </w:pPr>
      <w:r>
        <w:rPr>
          <w:rFonts w:ascii="Courier New" w:cs="Courier New" w:eastAsia="Courier New" w:hAnsi="Courier New"/>
          <w:color w:val="1A1A1A"/>
          <w:sz w:val="18"/>
          <w:szCs w:val="18"/>
        </w:rPr>
        <w:t xml:space="preserve">31 Toad Lane, Rochdale — the original 1844 cooperative store, now the Rochdale Pioneers Museum. Photo credit: Elliott Brown / Flickr (CC BY 2.0).</w:t>
      </w:r>
    </w:p>
    <w:p>
      <w:pPr>
        <w:spacing w:after="280" w:before="0"/>
      </w:pPr>
      <w:r>
        <w:t xml:space="preserve"/>
      </w:r>
    </w:p>
    <w:p>
      <w:pPr>
        <w:pStyle w:val="Heading2"/>
      </w:pPr>
      <w:r>
        <w:rPr>
          <w:rFonts w:ascii="Arial" w:cs="Arial" w:eastAsia="Arial" w:hAnsi="Arial"/>
          <w:b/>
          <w:bCs/>
          <w:color w:val="1A2E5A"/>
          <w:sz w:val="28"/>
          <w:szCs w:val="28"/>
        </w:rPr>
        <w:t xml:space="preserve">Step 4: Performance and SEO Checklist</w:t>
      </w:r>
    </w:p>
    <w:p>
      <w:pPr>
        <w:spacing w:after="200" w:before="0"/>
        <w:jc w:val="both"/>
      </w:pPr>
      <w:r>
        <w:rPr>
          <w:rFonts w:ascii="Georgia" w:cs="Georgia" w:eastAsia="Georgia" w:hAnsi="Georgia"/>
          <w:color w:val="2C3E6B"/>
          <w:sz w:val="24"/>
          <w:szCs w:val="24"/>
        </w:rPr>
        <w:t xml:space="preserve">A blog post that does not load quickly or cannot be found by search engines has limited reach. Run through this checklist before publishing.</w:t>
      </w:r>
    </w:p>
    <w:p>
      <w:pPr>
        <w:spacing w:after="120" w:before="0"/>
      </w:pPr>
      <w:r>
        <w:t xml:space="preserve"/>
      </w:r>
    </w:p>
    <w:p>
      <w:pPr>
        <w:pStyle w:val="Heading3"/>
      </w:pPr>
      <w:r>
        <w:rPr>
          <w:rFonts w:ascii="Arial" w:cs="Arial" w:eastAsia="Arial" w:hAnsi="Arial"/>
          <w:b/>
          <w:bCs/>
          <w:color w:val="E87722"/>
          <w:sz w:val="24"/>
          <w:szCs w:val="24"/>
        </w:rPr>
        <w:t xml:space="preserve">Images</w:t>
      </w:r>
    </w:p>
    <w:p>
      <w:pPr>
        <w:pStyle w:val="ListParagraph"/>
        <w:numPr>
          <w:ilvl w:val="0"/>
          <w:numId w:val="3"/>
        </w:numPr>
        <w:spacing w:after="40" w:before="40"/>
      </w:pPr>
      <w:r>
        <w:rPr>
          <w:rFonts w:ascii="Georgia" w:cs="Georgia" w:eastAsia="Georgia" w:hAnsi="Georgia"/>
          <w:color w:val="2C3E6B"/>
          <w:sz w:val="22"/>
          <w:szCs w:val="22"/>
        </w:rPr>
        <w:t xml:space="preserve">Compress all images to under 200KB using Squoosh (squoosh.app) or TinyPNG</w:t>
      </w:r>
    </w:p>
    <w:p>
      <w:pPr>
        <w:pStyle w:val="ListParagraph"/>
        <w:numPr>
          <w:ilvl w:val="0"/>
          <w:numId w:val="3"/>
        </w:numPr>
        <w:spacing w:after="40" w:before="40"/>
      </w:pPr>
      <w:r>
        <w:rPr>
          <w:rFonts w:ascii="Georgia" w:cs="Georgia" w:eastAsia="Georgia" w:hAnsi="Georgia"/>
          <w:color w:val="2C3E6B"/>
          <w:sz w:val="22"/>
          <w:szCs w:val="22"/>
        </w:rPr>
        <w:t xml:space="preserve">Save in WebP format where your CMS supports it (30–40% smaller than JPEG)</w:t>
      </w:r>
    </w:p>
    <w:p>
      <w:pPr>
        <w:pStyle w:val="ListParagraph"/>
        <w:numPr>
          <w:ilvl w:val="0"/>
          <w:numId w:val="3"/>
        </w:numPr>
        <w:spacing w:after="40" w:before="40"/>
      </w:pPr>
      <w:r>
        <w:rPr>
          <w:rFonts w:ascii="Georgia" w:cs="Georgia" w:eastAsia="Georgia" w:hAnsi="Georgia"/>
          <w:color w:val="2C3E6B"/>
          <w:sz w:val="22"/>
          <w:szCs w:val="22"/>
        </w:rPr>
        <w:t xml:space="preserve">Add descriptive alt text to every image (important for accessibility and SEO)</w:t>
      </w:r>
    </w:p>
    <w:p>
      <w:pPr>
        <w:pStyle w:val="Code"/>
      </w:pPr>
      <w:r>
        <w:rPr>
          <w:rFonts w:ascii="Courier New" w:cs="Courier New" w:eastAsia="Courier New" w:hAnsi="Courier New"/>
          <w:color w:val="1A1A1A"/>
          <w:sz w:val="18"/>
          <w:szCs w:val="18"/>
        </w:rPr>
        <w:t xml:space="preserve">alt="31 Toad Lane Rochdale, the original Rochdale Pioneers cooperative store opened in 1844"</w:t>
      </w:r>
    </w:p>
    <w:p>
      <w:pPr>
        <w:spacing w:after="120" w:before="0"/>
      </w:pPr>
      <w:r>
        <w:t xml:space="preserve"/>
      </w:r>
    </w:p>
    <w:p>
      <w:pPr>
        <w:pStyle w:val="Heading3"/>
      </w:pPr>
      <w:r>
        <w:rPr>
          <w:rFonts w:ascii="Arial" w:cs="Arial" w:eastAsia="Arial" w:hAnsi="Arial"/>
          <w:b/>
          <w:bCs/>
          <w:color w:val="E87722"/>
          <w:sz w:val="24"/>
          <w:szCs w:val="24"/>
        </w:rPr>
        <w:t xml:space="preserve">Content SEO</w:t>
      </w:r>
    </w:p>
    <w:p>
      <w:pPr>
        <w:pStyle w:val="ListParagraph"/>
        <w:numPr>
          <w:ilvl w:val="0"/>
          <w:numId w:val="3"/>
        </w:numPr>
        <w:spacing w:after="40" w:before="40"/>
      </w:pPr>
      <w:r>
        <w:rPr>
          <w:rFonts w:ascii="Georgia" w:cs="Georgia" w:eastAsia="Georgia" w:hAnsi="Georgia"/>
          <w:color w:val="2C3E6B"/>
          <w:sz w:val="22"/>
          <w:szCs w:val="22"/>
        </w:rPr>
        <w:t xml:space="preserve">Include the primary keyword ‘cooperative history Nigeria’ or ‘Rochdale Pioneers’ naturally in the first 100 words</w:t>
      </w:r>
    </w:p>
    <w:p>
      <w:pPr>
        <w:pStyle w:val="ListParagraph"/>
        <w:numPr>
          <w:ilvl w:val="0"/>
          <w:numId w:val="3"/>
        </w:numPr>
        <w:spacing w:after="40" w:before="40"/>
      </w:pPr>
      <w:r>
        <w:rPr>
          <w:rFonts w:ascii="Georgia" w:cs="Georgia" w:eastAsia="Georgia" w:hAnsi="Georgia"/>
          <w:color w:val="2C3E6B"/>
          <w:sz w:val="22"/>
          <w:szCs w:val="22"/>
        </w:rPr>
        <w:t xml:space="preserve">Use one H1 (the post title), H2 for main sections, H3 for sub-points. Never skip levels.</w:t>
      </w:r>
    </w:p>
    <w:p>
      <w:pPr>
        <w:pStyle w:val="ListParagraph"/>
        <w:numPr>
          <w:ilvl w:val="0"/>
          <w:numId w:val="3"/>
        </w:numPr>
        <w:spacing w:after="40" w:before="40"/>
      </w:pPr>
      <w:r>
        <w:rPr>
          <w:rFonts w:ascii="Georgia" w:cs="Georgia" w:eastAsia="Georgia" w:hAnsi="Georgia"/>
          <w:color w:val="2C3E6B"/>
          <w:sz w:val="22"/>
          <w:szCs w:val="22"/>
        </w:rPr>
        <w:t xml:space="preserve">Internal link to GTCS membership page, thrift account page, and any related blog posts</w:t>
      </w:r>
    </w:p>
    <w:p>
      <w:pPr>
        <w:pStyle w:val="ListParagraph"/>
        <w:numPr>
          <w:ilvl w:val="0"/>
          <w:numId w:val="3"/>
        </w:numPr>
        <w:spacing w:after="80" w:before="40"/>
      </w:pPr>
      <w:r>
        <w:rPr>
          <w:rFonts w:ascii="Georgia" w:cs="Georgia" w:eastAsia="Georgia" w:hAnsi="Georgia"/>
          <w:color w:val="2C3E6B"/>
          <w:sz w:val="22"/>
          <w:szCs w:val="22"/>
        </w:rPr>
        <w:t xml:space="preserve">External link to the Rochdale Pioneers Museum (rochdalepioneersmuseum.coop) and ICA (ica.coop) for credibility signals</w:t>
      </w:r>
    </w:p>
    <w:p>
      <w:pPr>
        <w:pStyle w:val="Heading3"/>
      </w:pPr>
      <w:r>
        <w:rPr>
          <w:rFonts w:ascii="Arial" w:cs="Arial" w:eastAsia="Arial" w:hAnsi="Arial"/>
          <w:b/>
          <w:bCs/>
          <w:color w:val="E87722"/>
          <w:sz w:val="24"/>
          <w:szCs w:val="24"/>
        </w:rPr>
        <w:t xml:space="preserve">Technical</w:t>
      </w:r>
    </w:p>
    <w:p>
      <w:pPr>
        <w:pStyle w:val="ListParagraph"/>
        <w:numPr>
          <w:ilvl w:val="0"/>
          <w:numId w:val="3"/>
        </w:numPr>
        <w:spacing w:after="40" w:before="40"/>
      </w:pPr>
      <w:r>
        <w:rPr>
          <w:rFonts w:ascii="Georgia" w:cs="Georgia" w:eastAsia="Georgia" w:hAnsi="Georgia"/>
          <w:color w:val="2C3E6B"/>
          <w:sz w:val="22"/>
          <w:szCs w:val="22"/>
        </w:rPr>
        <w:t xml:space="preserve">Enable Cloudflare on your domain (free tier) for CDN delivery across Nigeria</w:t>
      </w:r>
    </w:p>
    <w:p>
      <w:pPr>
        <w:pStyle w:val="ListParagraph"/>
        <w:numPr>
          <w:ilvl w:val="0"/>
          <w:numId w:val="3"/>
        </w:numPr>
        <w:spacing w:after="40" w:before="40"/>
      </w:pPr>
      <w:r>
        <w:rPr>
          <w:rFonts w:ascii="Georgia" w:cs="Georgia" w:eastAsia="Georgia" w:hAnsi="Georgia"/>
          <w:color w:val="2C3E6B"/>
          <w:sz w:val="22"/>
          <w:szCs w:val="22"/>
        </w:rPr>
        <w:t xml:space="preserve">Install Yoast SEO (WordPress) or use Ghost’s built-in SEO fields</w:t>
      </w:r>
    </w:p>
    <w:p>
      <w:pPr>
        <w:pStyle w:val="ListParagraph"/>
        <w:numPr>
          <w:ilvl w:val="0"/>
          <w:numId w:val="3"/>
        </w:numPr>
        <w:spacing w:after="40" w:before="40"/>
      </w:pPr>
      <w:r>
        <w:rPr>
          <w:rFonts w:ascii="Georgia" w:cs="Georgia" w:eastAsia="Georgia" w:hAnsi="Georgia"/>
          <w:color w:val="2C3E6B"/>
          <w:sz w:val="22"/>
          <w:szCs w:val="22"/>
        </w:rPr>
        <w:t xml:space="preserve">Submit the post URL to Google Search Console after publishing</w:t>
      </w:r>
    </w:p>
    <w:p>
      <w:pPr>
        <w:pStyle w:val="ListParagraph"/>
        <w:numPr>
          <w:ilvl w:val="0"/>
          <w:numId w:val="3"/>
        </w:numPr>
        <w:spacing w:after="40" w:before="40"/>
      </w:pPr>
      <w:r>
        <w:rPr>
          <w:rFonts w:ascii="Georgia" w:cs="Georgia" w:eastAsia="Georgia" w:hAnsi="Georgia"/>
          <w:color w:val="2C3E6B"/>
          <w:sz w:val="22"/>
          <w:szCs w:val="22"/>
        </w:rPr>
        <w:t xml:space="preserve">Test mobile rendering on a real Android device — majority of Nigerian readers are on mobile</w:t>
      </w:r>
    </w:p>
    <w:p>
      <w:pPr>
        <w:pStyle w:val="ListParagraph"/>
        <w:numPr>
          <w:ilvl w:val="0"/>
          <w:numId w:val="3"/>
        </w:numPr>
        <w:spacing w:after="80" w:before="40"/>
      </w:pPr>
      <w:r>
        <w:rPr>
          <w:rFonts w:ascii="Georgia" w:cs="Georgia" w:eastAsia="Georgia" w:hAnsi="Georgia"/>
          <w:color w:val="2C3E6B"/>
          <w:sz w:val="22"/>
          <w:szCs w:val="22"/>
        </w:rPr>
        <w:t xml:space="preserve">Run Google PageSpeed Insights; aim for a score above 80 on mobile</w:t>
      </w:r>
    </w:p>
    <w:p>
      <w:pPr>
        <w:spacing w:after="280" w:before="0"/>
      </w:pPr>
      <w:r>
        <w:t xml:space="preserve"/>
      </w:r>
    </w:p>
    <w:p>
      <w:pPr>
        <w:pStyle w:val="Heading2"/>
      </w:pPr>
      <w:r>
        <w:rPr>
          <w:rFonts w:ascii="Arial" w:cs="Arial" w:eastAsia="Arial" w:hAnsi="Arial"/>
          <w:b/>
          <w:bCs/>
          <w:color w:val="1A2E5A"/>
          <w:sz w:val="28"/>
          <w:szCs w:val="28"/>
        </w:rPr>
        <w:t xml:space="preserve">Step 5: Distribution After Publishing</w:t>
      </w:r>
    </w:p>
    <w:p>
      <w:pPr>
        <w:spacing w:after="200" w:before="0"/>
        <w:jc w:val="both"/>
      </w:pPr>
      <w:r>
        <w:rPr>
          <w:rFonts w:ascii="Georgia" w:cs="Georgia" w:eastAsia="Georgia" w:hAnsi="Georgia"/>
          <w:color w:val="2C3E6B"/>
          <w:sz w:val="24"/>
          <w:szCs w:val="24"/>
        </w:rPr>
        <w:t xml:space="preserve">Publishing the post is the beginning, not the end. Use the following channels to extend reach within the GTCS membership and beyond.</w:t>
      </w:r>
    </w:p>
    <w:p>
      <w:pPr>
        <w:spacing w:after="120" w:before="0"/>
      </w:pPr>
      <w:r>
        <w:t xml:space="preserve"/>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000"/>
        <w:gridCol w:w="2400"/>
        <w:gridCol w:w="4626"/>
      </w:tblGrid>
      <w:tr>
        <w:tc>
          <w:tcPr>
            <w:tcW w:type="dxa" w:w="2000"/>
            <w:tcBorders>
              <w:top w:val="none" w:color="000000" w:sz="0"/>
              <w:left w:val="none" w:color="000000" w:sz="0"/>
              <w:bottom w:val="none" w:color="000000" w:sz="0"/>
              <w:right w:val="none" w:color="000000" w:sz="0"/>
            </w:tcBorders>
            <w:shd w:fill="1A2E5A" w:val="clear"/>
            <w:tcMar>
              <w:top w:type="dxa" w:w="120"/>
              <w:left w:type="dxa" w:w="160"/>
              <w:bottom w:type="dxa" w:w="120"/>
              <w:right w:type="dxa" w:w="120"/>
            </w:tcMar>
          </w:tcPr>
          <w:p>
            <w:r>
              <w:rPr>
                <w:rFonts w:ascii="Arial" w:cs="Arial" w:eastAsia="Arial" w:hAnsi="Arial"/>
                <w:b/>
                <w:bCs/>
                <w:color w:val="FFFFFF"/>
                <w:sz w:val="18"/>
                <w:szCs w:val="18"/>
              </w:rPr>
              <w:t xml:space="preserve">Component</w:t>
            </w:r>
          </w:p>
        </w:tc>
        <w:tc>
          <w:tcPr>
            <w:tcW w:type="dxa" w:w="2400"/>
            <w:tcBorders>
              <w:top w:val="none" w:color="000000" w:sz="0"/>
              <w:left w:val="none" w:color="000000" w:sz="0"/>
              <w:bottom w:val="none" w:color="000000" w:sz="0"/>
              <w:right w:val="none" w:color="000000" w:sz="0"/>
            </w:tcBorders>
            <w:shd w:fill="1A2E5A" w:val="clear"/>
            <w:tcMar>
              <w:top w:type="dxa" w:w="120"/>
              <w:left w:type="dxa" w:w="160"/>
              <w:bottom w:type="dxa" w:w="120"/>
              <w:right w:type="dxa" w:w="120"/>
            </w:tcMar>
          </w:tcPr>
          <w:p>
            <w:r>
              <w:rPr>
                <w:rFonts w:ascii="Arial" w:cs="Arial" w:eastAsia="Arial" w:hAnsi="Arial"/>
                <w:b/>
                <w:bCs/>
                <w:color w:val="FFFFFF"/>
                <w:sz w:val="18"/>
                <w:szCs w:val="18"/>
              </w:rPr>
              <w:t xml:space="preserve">Recommended Option</w:t>
            </w:r>
          </w:p>
        </w:tc>
        <w:tc>
          <w:tcPr>
            <w:tcW w:type="dxa" w:w="4626"/>
            <w:tcBorders>
              <w:top w:val="none" w:color="000000" w:sz="0"/>
              <w:left w:val="none" w:color="000000" w:sz="0"/>
              <w:bottom w:val="none" w:color="000000" w:sz="0"/>
              <w:right w:val="none" w:color="000000" w:sz="0"/>
            </w:tcBorders>
            <w:shd w:fill="1A2E5A" w:val="clear"/>
            <w:tcMar>
              <w:top w:type="dxa" w:w="120"/>
              <w:left w:type="dxa" w:w="160"/>
              <w:bottom w:type="dxa" w:w="120"/>
              <w:right w:type="dxa" w:w="120"/>
            </w:tcMar>
          </w:tcPr>
          <w:p>
            <w:r>
              <w:rPr>
                <w:rFonts w:ascii="Arial" w:cs="Arial" w:eastAsia="Arial" w:hAnsi="Arial"/>
                <w:b/>
                <w:bCs/>
                <w:color w:val="FFFFFF"/>
                <w:sz w:val="18"/>
                <w:szCs w:val="18"/>
              </w:rPr>
              <w:t xml:space="preserve">Notes</w:t>
            </w:r>
          </w:p>
        </w:tc>
      </w:tr>
      <w:tr>
        <w:tc>
          <w:tcPr>
            <w:tcW w:type="dxa" w:w="2000"/>
            <w:tcBorders>
              <w:top w:val="single" w:color="D0DFF2" w:sz="4"/>
              <w:left w:val="single" w:color="D0DFF2" w:sz="4"/>
              <w:bottom w:val="single" w:color="D0DFF2" w:sz="4"/>
              <w:right w:val="single" w:color="D0DFF2" w:sz="4"/>
            </w:tcBorders>
            <w:shd w:fill="F5F8FF" w:val="clear"/>
            <w:tcMar>
              <w:top w:type="dxa" w:w="100"/>
              <w:left w:type="dxa" w:w="160"/>
              <w:bottom w:type="dxa" w:w="100"/>
              <w:right w:type="dxa" w:w="120"/>
            </w:tcMar>
            <w:vAlign w:val="center"/>
          </w:tcPr>
          <w:p>
            <w:r>
              <w:rPr>
                <w:rFonts w:ascii="Arial" w:cs="Arial" w:eastAsia="Arial" w:hAnsi="Arial"/>
                <w:b/>
                <w:bCs/>
                <w:color w:val="1A2E5A"/>
                <w:sz w:val="20"/>
                <w:szCs w:val="20"/>
              </w:rPr>
              <w:t xml:space="preserve">WhatsApp</w:t>
            </w:r>
          </w:p>
        </w:tc>
        <w:tc>
          <w:tcPr>
            <w:tcW w:type="dxa" w:w="2400"/>
            <w:tcBorders>
              <w:top w:val="single" w:color="D0DFF2" w:sz="4"/>
              <w:left w:val="single" w:color="D0DFF2" w:sz="4"/>
              <w:bottom w:val="single" w:color="D0DFF2" w:sz="4"/>
              <w:right w:val="single" w:color="D0DFF2" w:sz="4"/>
            </w:tcBorders>
            <w:shd w:fill="EBF2FA" w:val="clear"/>
            <w:tcMar>
              <w:top w:type="dxa" w:w="100"/>
              <w:left w:type="dxa" w:w="160"/>
              <w:bottom w:type="dxa" w:w="100"/>
              <w:right w:type="dxa" w:w="120"/>
            </w:tcMar>
            <w:vAlign w:val="center"/>
          </w:tcPr>
          <w:p>
            <w:r>
              <w:rPr>
                <w:rFonts w:ascii="Courier New" w:cs="Courier New" w:eastAsia="Courier New" w:hAnsi="Courier New"/>
                <w:color w:val="CC4400"/>
                <w:sz w:val="18"/>
                <w:szCs w:val="18"/>
              </w:rPr>
              <w:t xml:space="preserve">Broadcast list + groups</w:t>
            </w:r>
          </w:p>
        </w:tc>
        <w:tc>
          <w:tcPr>
            <w:tcW w:type="dxa" w:w="4626"/>
            <w:tcBorders>
              <w:top w:val="single" w:color="D0DFF2" w:sz="4"/>
              <w:left w:val="single" w:color="D0DFF2" w:sz="4"/>
              <w:bottom w:val="single" w:color="D0DFF2" w:sz="4"/>
              <w:right w:val="single" w:color="D0DFF2" w:sz="4"/>
            </w:tcBorders>
            <w:shd w:fill="FFFFFF" w:val="clear"/>
            <w:tcMar>
              <w:top w:type="dxa" w:w="100"/>
              <w:left w:type="dxa" w:w="160"/>
              <w:bottom w:type="dxa" w:w="100"/>
              <w:right w:type="dxa" w:w="120"/>
            </w:tcMar>
            <w:vAlign w:val="center"/>
          </w:tcPr>
          <w:p>
            <w:r>
              <w:rPr>
                <w:rFonts w:ascii="Arial" w:cs="Arial" w:eastAsia="Arial" w:hAnsi="Arial"/>
                <w:color w:val="444444"/>
                <w:sz w:val="18"/>
                <w:szCs w:val="18"/>
              </w:rPr>
              <w:t xml:space="preserve">Share the post link with a one-line teaser. WhatsApp is the primary content channel in Nigeria.</w:t>
            </w:r>
          </w:p>
        </w:tc>
      </w:tr>
      <w:tr>
        <w:tc>
          <w:tcPr>
            <w:tcW w:type="dxa" w:w="2000"/>
            <w:tcBorders>
              <w:top w:val="single" w:color="D0DFF2" w:sz="4"/>
              <w:left w:val="single" w:color="D0DFF2" w:sz="4"/>
              <w:bottom w:val="single" w:color="D0DFF2" w:sz="4"/>
              <w:right w:val="single" w:color="D0DFF2" w:sz="4"/>
            </w:tcBorders>
            <w:shd w:fill="F5F8FF" w:val="clear"/>
            <w:tcMar>
              <w:top w:type="dxa" w:w="100"/>
              <w:left w:type="dxa" w:w="160"/>
              <w:bottom w:type="dxa" w:w="100"/>
              <w:right w:type="dxa" w:w="120"/>
            </w:tcMar>
            <w:vAlign w:val="center"/>
          </w:tcPr>
          <w:p>
            <w:r>
              <w:rPr>
                <w:rFonts w:ascii="Arial" w:cs="Arial" w:eastAsia="Arial" w:hAnsi="Arial"/>
                <w:b/>
                <w:bCs/>
                <w:color w:val="1A2E5A"/>
                <w:sz w:val="20"/>
                <w:szCs w:val="20"/>
              </w:rPr>
              <w:t xml:space="preserve">Facebook</w:t>
            </w:r>
          </w:p>
        </w:tc>
        <w:tc>
          <w:tcPr>
            <w:tcW w:type="dxa" w:w="2400"/>
            <w:tcBorders>
              <w:top w:val="single" w:color="D0DFF2" w:sz="4"/>
              <w:left w:val="single" w:color="D0DFF2" w:sz="4"/>
              <w:bottom w:val="single" w:color="D0DFF2" w:sz="4"/>
              <w:right w:val="single" w:color="D0DFF2" w:sz="4"/>
            </w:tcBorders>
            <w:shd w:fill="EBF2FA" w:val="clear"/>
            <w:tcMar>
              <w:top w:type="dxa" w:w="100"/>
              <w:left w:type="dxa" w:w="160"/>
              <w:bottom w:type="dxa" w:w="100"/>
              <w:right w:type="dxa" w:w="120"/>
            </w:tcMar>
            <w:vAlign w:val="center"/>
          </w:tcPr>
          <w:p>
            <w:r>
              <w:rPr>
                <w:rFonts w:ascii="Courier New" w:cs="Courier New" w:eastAsia="Courier New" w:hAnsi="Courier New"/>
                <w:color w:val="CC4400"/>
                <w:sz w:val="18"/>
                <w:szCs w:val="18"/>
              </w:rPr>
              <w:t xml:space="preserve">GTCS page post + member groups</w:t>
            </w:r>
          </w:p>
        </w:tc>
        <w:tc>
          <w:tcPr>
            <w:tcW w:type="dxa" w:w="4626"/>
            <w:tcBorders>
              <w:top w:val="single" w:color="D0DFF2" w:sz="4"/>
              <w:left w:val="single" w:color="D0DFF2" w:sz="4"/>
              <w:bottom w:val="single" w:color="D0DFF2" w:sz="4"/>
              <w:right w:val="single" w:color="D0DFF2" w:sz="4"/>
            </w:tcBorders>
            <w:shd w:fill="FFFFFF" w:val="clear"/>
            <w:tcMar>
              <w:top w:type="dxa" w:w="100"/>
              <w:left w:type="dxa" w:w="160"/>
              <w:bottom w:type="dxa" w:w="100"/>
              <w:right w:type="dxa" w:w="120"/>
            </w:tcMar>
            <w:vAlign w:val="center"/>
          </w:tcPr>
          <w:p>
            <w:r>
              <w:rPr>
                <w:rFonts w:ascii="Arial" w:cs="Arial" w:eastAsia="Arial" w:hAnsi="Arial"/>
                <w:color w:val="444444"/>
                <w:sz w:val="18"/>
                <w:szCs w:val="18"/>
              </w:rPr>
              <w:t xml:space="preserve">Post the infographic as the image; include link in caption. Boost post for ₣1,000–2,000 for wider reach.</w:t>
            </w:r>
          </w:p>
        </w:tc>
      </w:tr>
      <w:tr>
        <w:tc>
          <w:tcPr>
            <w:tcW w:type="dxa" w:w="2000"/>
            <w:tcBorders>
              <w:top w:val="single" w:color="D0DFF2" w:sz="4"/>
              <w:left w:val="single" w:color="D0DFF2" w:sz="4"/>
              <w:bottom w:val="single" w:color="D0DFF2" w:sz="4"/>
              <w:right w:val="single" w:color="D0DFF2" w:sz="4"/>
            </w:tcBorders>
            <w:shd w:fill="F5F8FF" w:val="clear"/>
            <w:tcMar>
              <w:top w:type="dxa" w:w="100"/>
              <w:left w:type="dxa" w:w="160"/>
              <w:bottom w:type="dxa" w:w="100"/>
              <w:right w:type="dxa" w:w="120"/>
            </w:tcMar>
            <w:vAlign w:val="center"/>
          </w:tcPr>
          <w:p>
            <w:r>
              <w:rPr>
                <w:rFonts w:ascii="Arial" w:cs="Arial" w:eastAsia="Arial" w:hAnsi="Arial"/>
                <w:b/>
                <w:bCs/>
                <w:color w:val="1A2E5A"/>
                <w:sz w:val="20"/>
                <w:szCs w:val="20"/>
              </w:rPr>
              <w:t xml:space="preserve">Email newsletter</w:t>
            </w:r>
          </w:p>
        </w:tc>
        <w:tc>
          <w:tcPr>
            <w:tcW w:type="dxa" w:w="2400"/>
            <w:tcBorders>
              <w:top w:val="single" w:color="D0DFF2" w:sz="4"/>
              <w:left w:val="single" w:color="D0DFF2" w:sz="4"/>
              <w:bottom w:val="single" w:color="D0DFF2" w:sz="4"/>
              <w:right w:val="single" w:color="D0DFF2" w:sz="4"/>
            </w:tcBorders>
            <w:shd w:fill="EBF2FA" w:val="clear"/>
            <w:tcMar>
              <w:top w:type="dxa" w:w="100"/>
              <w:left w:type="dxa" w:w="160"/>
              <w:bottom w:type="dxa" w:w="100"/>
              <w:right w:type="dxa" w:w="120"/>
            </w:tcMar>
            <w:vAlign w:val="center"/>
          </w:tcPr>
          <w:p>
            <w:r>
              <w:rPr>
                <w:rFonts w:ascii="Courier New" w:cs="Courier New" w:eastAsia="Courier New" w:hAnsi="Courier New"/>
                <w:color w:val="CC4400"/>
                <w:sz w:val="18"/>
                <w:szCs w:val="18"/>
              </w:rPr>
              <w:t xml:space="preserve">Mailchimp (free to 500 contacts)</w:t>
            </w:r>
          </w:p>
        </w:tc>
        <w:tc>
          <w:tcPr>
            <w:tcW w:type="dxa" w:w="4626"/>
            <w:tcBorders>
              <w:top w:val="single" w:color="D0DFF2" w:sz="4"/>
              <w:left w:val="single" w:color="D0DFF2" w:sz="4"/>
              <w:bottom w:val="single" w:color="D0DFF2" w:sz="4"/>
              <w:right w:val="single" w:color="D0DFF2" w:sz="4"/>
            </w:tcBorders>
            <w:shd w:fill="FFFFFF" w:val="clear"/>
            <w:tcMar>
              <w:top w:type="dxa" w:w="100"/>
              <w:left w:type="dxa" w:w="160"/>
              <w:bottom w:type="dxa" w:w="100"/>
              <w:right w:type="dxa" w:w="120"/>
            </w:tcMar>
            <w:vAlign w:val="center"/>
          </w:tcPr>
          <w:p>
            <w:r>
              <w:rPr>
                <w:rFonts w:ascii="Arial" w:cs="Arial" w:eastAsia="Arial" w:hAnsi="Arial"/>
                <w:color w:val="444444"/>
                <w:sz w:val="18"/>
                <w:szCs w:val="18"/>
              </w:rPr>
              <w:t xml:space="preserve">Send a short email: two-sentence summary + Read More button linking to the post.</w:t>
            </w:r>
          </w:p>
        </w:tc>
      </w:tr>
      <w:tr>
        <w:tc>
          <w:tcPr>
            <w:tcW w:type="dxa" w:w="2000"/>
            <w:tcBorders>
              <w:top w:val="single" w:color="D0DFF2" w:sz="4"/>
              <w:left w:val="single" w:color="D0DFF2" w:sz="4"/>
              <w:bottom w:val="single" w:color="D0DFF2" w:sz="4"/>
              <w:right w:val="single" w:color="D0DFF2" w:sz="4"/>
            </w:tcBorders>
            <w:shd w:fill="F5F8FF" w:val="clear"/>
            <w:tcMar>
              <w:top w:type="dxa" w:w="100"/>
              <w:left w:type="dxa" w:w="160"/>
              <w:bottom w:type="dxa" w:w="100"/>
              <w:right w:type="dxa" w:w="120"/>
            </w:tcMar>
            <w:vAlign w:val="center"/>
          </w:tcPr>
          <w:p>
            <w:r>
              <w:rPr>
                <w:rFonts w:ascii="Arial" w:cs="Arial" w:eastAsia="Arial" w:hAnsi="Arial"/>
                <w:b/>
                <w:bCs/>
                <w:color w:val="1A2E5A"/>
                <w:sz w:val="20"/>
                <w:szCs w:val="20"/>
              </w:rPr>
              <w:t xml:space="preserve">Instagram</w:t>
            </w:r>
          </w:p>
        </w:tc>
        <w:tc>
          <w:tcPr>
            <w:tcW w:type="dxa" w:w="2400"/>
            <w:tcBorders>
              <w:top w:val="single" w:color="D0DFF2" w:sz="4"/>
              <w:left w:val="single" w:color="D0DFF2" w:sz="4"/>
              <w:bottom w:val="single" w:color="D0DFF2" w:sz="4"/>
              <w:right w:val="single" w:color="D0DFF2" w:sz="4"/>
            </w:tcBorders>
            <w:shd w:fill="EBF2FA" w:val="clear"/>
            <w:tcMar>
              <w:top w:type="dxa" w:w="100"/>
              <w:left w:type="dxa" w:w="160"/>
              <w:bottom w:type="dxa" w:w="100"/>
              <w:right w:type="dxa" w:w="120"/>
            </w:tcMar>
            <w:vAlign w:val="center"/>
          </w:tcPr>
          <w:p>
            <w:r>
              <w:rPr>
                <w:rFonts w:ascii="Courier New" w:cs="Courier New" w:eastAsia="Courier New" w:hAnsi="Courier New"/>
                <w:color w:val="CC4400"/>
                <w:sz w:val="18"/>
                <w:szCs w:val="18"/>
              </w:rPr>
              <w:t xml:space="preserve">Carousel using infographic panels</w:t>
            </w:r>
          </w:p>
        </w:tc>
        <w:tc>
          <w:tcPr>
            <w:tcW w:type="dxa" w:w="4626"/>
            <w:tcBorders>
              <w:top w:val="single" w:color="D0DFF2" w:sz="4"/>
              <w:left w:val="single" w:color="D0DFF2" w:sz="4"/>
              <w:bottom w:val="single" w:color="D0DFF2" w:sz="4"/>
              <w:right w:val="single" w:color="D0DFF2" w:sz="4"/>
            </w:tcBorders>
            <w:shd w:fill="FFFFFF" w:val="clear"/>
            <w:tcMar>
              <w:top w:type="dxa" w:w="100"/>
              <w:left w:type="dxa" w:w="160"/>
              <w:bottom w:type="dxa" w:w="100"/>
              <w:right w:type="dxa" w:w="120"/>
            </w:tcMar>
            <w:vAlign w:val="center"/>
          </w:tcPr>
          <w:p>
            <w:r>
              <w:rPr>
                <w:rFonts w:ascii="Arial" w:cs="Arial" w:eastAsia="Arial" w:hAnsi="Arial"/>
                <w:color w:val="444444"/>
                <w:sz w:val="18"/>
                <w:szCs w:val="18"/>
              </w:rPr>
              <w:t xml:space="preserve">Split the infographic into three square panels for a swipe-through carousel post.</w:t>
            </w:r>
          </w:p>
        </w:tc>
      </w:tr>
      <w:tr>
        <w:tc>
          <w:tcPr>
            <w:tcW w:type="dxa" w:w="2000"/>
            <w:tcBorders>
              <w:top w:val="single" w:color="D0DFF2" w:sz="4"/>
              <w:left w:val="single" w:color="D0DFF2" w:sz="4"/>
              <w:bottom w:val="single" w:color="D0DFF2" w:sz="4"/>
              <w:right w:val="single" w:color="D0DFF2" w:sz="4"/>
            </w:tcBorders>
            <w:shd w:fill="F5F8FF" w:val="clear"/>
            <w:tcMar>
              <w:top w:type="dxa" w:w="100"/>
              <w:left w:type="dxa" w:w="160"/>
              <w:bottom w:type="dxa" w:w="100"/>
              <w:right w:type="dxa" w:w="120"/>
            </w:tcMar>
            <w:vAlign w:val="center"/>
          </w:tcPr>
          <w:p>
            <w:r>
              <w:rPr>
                <w:rFonts w:ascii="Arial" w:cs="Arial" w:eastAsia="Arial" w:hAnsi="Arial"/>
                <w:b/>
                <w:bCs/>
                <w:color w:val="1A2E5A"/>
                <w:sz w:val="20"/>
                <w:szCs w:val="20"/>
              </w:rPr>
              <w:t xml:space="preserve">Twitter / X</w:t>
            </w:r>
          </w:p>
        </w:tc>
        <w:tc>
          <w:tcPr>
            <w:tcW w:type="dxa" w:w="2400"/>
            <w:tcBorders>
              <w:top w:val="single" w:color="D0DFF2" w:sz="4"/>
              <w:left w:val="single" w:color="D0DFF2" w:sz="4"/>
              <w:bottom w:val="single" w:color="D0DFF2" w:sz="4"/>
              <w:right w:val="single" w:color="D0DFF2" w:sz="4"/>
            </w:tcBorders>
            <w:shd w:fill="EBF2FA" w:val="clear"/>
            <w:tcMar>
              <w:top w:type="dxa" w:w="100"/>
              <w:left w:type="dxa" w:w="160"/>
              <w:bottom w:type="dxa" w:w="100"/>
              <w:right w:type="dxa" w:w="120"/>
            </w:tcMar>
            <w:vAlign w:val="center"/>
          </w:tcPr>
          <w:p>
            <w:r>
              <w:rPr>
                <w:rFonts w:ascii="Courier New" w:cs="Courier New" w:eastAsia="Courier New" w:hAnsi="Courier New"/>
                <w:color w:val="CC4400"/>
                <w:sz w:val="18"/>
                <w:szCs w:val="18"/>
              </w:rPr>
              <w:t xml:space="preserve">Thread format</w:t>
            </w:r>
          </w:p>
        </w:tc>
        <w:tc>
          <w:tcPr>
            <w:tcW w:type="dxa" w:w="4626"/>
            <w:tcBorders>
              <w:top w:val="single" w:color="D0DFF2" w:sz="4"/>
              <w:left w:val="single" w:color="D0DFF2" w:sz="4"/>
              <w:bottom w:val="single" w:color="D0DFF2" w:sz="4"/>
              <w:right w:val="single" w:color="D0DFF2" w:sz="4"/>
            </w:tcBorders>
            <w:shd w:fill="FFFFFF" w:val="clear"/>
            <w:tcMar>
              <w:top w:type="dxa" w:w="100"/>
              <w:left w:type="dxa" w:w="160"/>
              <w:bottom w:type="dxa" w:w="100"/>
              <w:right w:type="dxa" w:w="120"/>
            </w:tcMar>
            <w:vAlign w:val="center"/>
          </w:tcPr>
          <w:p>
            <w:r>
              <w:rPr>
                <w:rFonts w:ascii="Arial" w:cs="Arial" w:eastAsia="Arial" w:hAnsi="Arial"/>
                <w:color w:val="444444"/>
                <w:sz w:val="18"/>
                <w:szCs w:val="18"/>
              </w:rPr>
              <w:t xml:space="preserve">Break the key facts into a 6–8 tweet thread; link to full post in the last tweet.</w:t>
            </w:r>
          </w:p>
        </w:tc>
      </w:tr>
      <w:tr>
        <w:tc>
          <w:tcPr>
            <w:tcW w:type="dxa" w:w="2000"/>
            <w:tcBorders>
              <w:top w:val="single" w:color="D0DFF2" w:sz="4"/>
              <w:left w:val="single" w:color="D0DFF2" w:sz="4"/>
              <w:bottom w:val="single" w:color="D0DFF2" w:sz="4"/>
              <w:right w:val="single" w:color="D0DFF2" w:sz="4"/>
            </w:tcBorders>
            <w:shd w:fill="F5F8FF" w:val="clear"/>
            <w:tcMar>
              <w:top w:type="dxa" w:w="100"/>
              <w:left w:type="dxa" w:w="160"/>
              <w:bottom w:type="dxa" w:w="100"/>
              <w:right w:type="dxa" w:w="120"/>
            </w:tcMar>
            <w:vAlign w:val="center"/>
          </w:tcPr>
          <w:p>
            <w:r>
              <w:rPr>
                <w:rFonts w:ascii="Arial" w:cs="Arial" w:eastAsia="Arial" w:hAnsi="Arial"/>
                <w:b/>
                <w:bCs/>
                <w:color w:val="1A2E5A"/>
                <w:sz w:val="20"/>
                <w:szCs w:val="20"/>
              </w:rPr>
              <w:t xml:space="preserve">Print</w:t>
            </w:r>
          </w:p>
        </w:tc>
        <w:tc>
          <w:tcPr>
            <w:tcW w:type="dxa" w:w="2400"/>
            <w:tcBorders>
              <w:top w:val="single" w:color="D0DFF2" w:sz="4"/>
              <w:left w:val="single" w:color="D0DFF2" w:sz="4"/>
              <w:bottom w:val="single" w:color="D0DFF2" w:sz="4"/>
              <w:right w:val="single" w:color="D0DFF2" w:sz="4"/>
            </w:tcBorders>
            <w:shd w:fill="EBF2FA" w:val="clear"/>
            <w:tcMar>
              <w:top w:type="dxa" w:w="100"/>
              <w:left w:type="dxa" w:w="160"/>
              <w:bottom w:type="dxa" w:w="100"/>
              <w:right w:type="dxa" w:w="120"/>
            </w:tcMar>
            <w:vAlign w:val="center"/>
          </w:tcPr>
          <w:p>
            <w:r>
              <w:rPr>
                <w:rFonts w:ascii="Courier New" w:cs="Courier New" w:eastAsia="Courier New" w:hAnsi="Courier New"/>
                <w:color w:val="CC4400"/>
                <w:sz w:val="18"/>
                <w:szCs w:val="18"/>
              </w:rPr>
              <w:t xml:space="preserve">A4 or A5 handout</w:t>
            </w:r>
          </w:p>
        </w:tc>
        <w:tc>
          <w:tcPr>
            <w:tcW w:type="dxa" w:w="4626"/>
            <w:tcBorders>
              <w:top w:val="single" w:color="D0DFF2" w:sz="4"/>
              <w:left w:val="single" w:color="D0DFF2" w:sz="4"/>
              <w:bottom w:val="single" w:color="D0DFF2" w:sz="4"/>
              <w:right w:val="single" w:color="D0DFF2" w:sz="4"/>
            </w:tcBorders>
            <w:shd w:fill="FFFFFF" w:val="clear"/>
            <w:tcMar>
              <w:top w:type="dxa" w:w="100"/>
              <w:left w:type="dxa" w:w="160"/>
              <w:bottom w:type="dxa" w:w="100"/>
              <w:right w:type="dxa" w:w="120"/>
            </w:tcMar>
            <w:vAlign w:val="center"/>
          </w:tcPr>
          <w:p>
            <w:r>
              <w:rPr>
                <w:rFonts w:ascii="Arial" w:cs="Arial" w:eastAsia="Arial" w:hAnsi="Arial"/>
                <w:color w:val="444444"/>
                <w:sz w:val="18"/>
                <w:szCs w:val="18"/>
              </w:rPr>
              <w:t xml:space="preserve">Print the DOCX for distribution at GTCS meetings, AGMs, or member induction sessions.</w:t>
            </w:r>
          </w:p>
        </w:tc>
      </w:tr>
    </w:tbl>
    <w:p>
      <w:pPr>
        <w:spacing w:after="280" w:before="0"/>
      </w:pPr>
      <w:r>
        <w:t xml:space="preserve"/>
      </w:r>
    </w:p>
    <w:p>
      <w:pPr>
        <w:pBdr>
          <w:bottom w:val="single" w:color="1A2E5A" w:sz="8" w:space="1"/>
        </w:pBdr>
        <w:spacing w:after="240" w:before="0"/>
      </w:pPr>
      <w:r>
        <w:t xml:space="preserve"/>
      </w:r>
    </w:p>
    <w:p>
      <w:pPr>
        <w:spacing w:after="60" w:before="0"/>
      </w:pPr>
      <w:r>
        <w:rPr>
          <w:rFonts w:ascii="Arial" w:cs="Arial" w:eastAsia="Arial" w:hAnsi="Arial"/>
          <w:i/>
          <w:iCs/>
          <w:color w:val="888888"/>
          <w:sz w:val="18"/>
          <w:szCs w:val="18"/>
        </w:rPr>
        <w:t xml:space="preserve">Published by GTCS  —  God’s Treasury Cooperative, Thrift and Credit Society</w:t>
      </w:r>
    </w:p>
    <w:p>
      <w:pPr>
        <w:spacing w:after="0" w:before="0"/>
      </w:pPr>
      <w:r>
        <w:rPr>
          <w:rFonts w:ascii="Arial" w:cs="Arial" w:eastAsia="Arial" w:hAnsi="Arial"/>
          <w:color w:val="E87722"/>
          <w:sz w:val="18"/>
          <w:szCs w:val="18"/>
        </w:rPr>
        <w:t xml:space="preserve">Member Education Series  |  Cooperative Heritage  |  Developer Guide v1.0</w:t>
      </w:r>
    </w:p>
    <w:sectPr>
      <w:headerReference w:type="default" r:id="rId7"/>
      <w:footerReference w:type="default" r:id="rId8"/>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D0DFF2" w:sz="4" w:space="6"/>
      </w:pBdr>
      <w:tabs>
        <w:tab w:val="right" w:pos="9026"/>
      </w:tabs>
      <w:spacing w:before="0"/>
    </w:pPr>
    <w:r>
      <w:rPr>
        <w:rFonts w:ascii="Arial" w:cs="Arial" w:eastAsia="Arial" w:hAnsi="Arial"/>
        <w:color w:val="888888"/>
        <w:sz w:val="18"/>
        <w:szCs w:val="18"/>
      </w:rPr>
      <w:t xml:space="preserve">www.gtcs.coop  |  God’s Treasury Cooperative, Thrift and Credit Society</w:t>
    </w:r>
    <w:r>
      <w:t xml:space="preserve">	</w:t>
    </w:r>
    <w:r>
      <w:rPr>
        <w:rFonts w:ascii="Arial" w:cs="Arial" w:eastAsia="Arial" w:hAnsi="Arial"/>
        <w:color w:val="888888"/>
        <w:sz w:val="18"/>
        <w:szCs w:val="18"/>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D0DFF2" w:sz="4" w:space="6"/>
      </w:pBdr>
      <w:spacing w:after="0"/>
    </w:pPr>
    <w:r>
      <w:rPr>
        <w:rFonts w:ascii="Arial" w:cs="Arial" w:eastAsia="Arial" w:hAnsi="Arial"/>
        <w:color w:val="888888"/>
        <w:sz w:val="18"/>
        <w:szCs w:val="18"/>
      </w:rPr>
      <w:t xml:space="preserve">GTCS Blog  —  God’s Treasury Cooperative, Thrift and Credit Society</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rPr>
        <w:rFonts w:ascii="Arial" w:cs="Arial" w:eastAsia="Arial" w:hAnsi="Arial"/>
        <w:color w:val="E87722"/>
        <w:sz w:val="24"/>
        <w:szCs w:val="24"/>
      </w:rPr>
    </w:lvl>
  </w:abstractNum>
  <w:abstractNum w:abstractNumId="3" w15:restartNumberingAfterBreak="0">
    <w:multiLevelType w:val="hybridMultilevel"/>
    <w:lvl w:ilvl="0" w15:tentative="1">
      <w:start w:val="1"/>
      <w:numFmt w:val="decimal"/>
      <w:lvlText w:val="%1."/>
      <w:lvlJc w:val="left"/>
      <w:pPr>
        <w:ind w:left="720" w:hanging="360"/>
      </w:pPr>
      <w:rPr>
        <w:rFonts w:ascii="Arial" w:cs="Arial" w:eastAsia="Arial" w:hAnsi="Arial"/>
        <w:color w:val="1A2E5A"/>
        <w:sz w:val="22"/>
        <w:szCs w:val="22"/>
      </w:rPr>
    </w:lvl>
  </w:abstractNum>
  <w:num w:numId="1">
    <w:abstractNumId w:val="1"/>
    <w:lvlOverride w:ilvl="0">
      <w:startOverride w:val="1"/>
    </w:lvlOverride>
  </w:num>
  <w:num w:numId="2">
    <w:abstractNumId w:val="2"/>
    <w:lvlOverride w:ilvl="0">
      <w:startOverride w:val="1"/>
    </w:lvlOverride>
  </w:num>
  <w:num w:numId="3">
    <w:abstractNumId w:val="3"/>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Georgia" w:cs="Georgia" w:eastAsia="Georgia" w:hAnsi="Georgia"/>
        <w:color w:val="1A2E5A"/>
        <w:sz w:val="24"/>
        <w:szCs w:val="24"/>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200" w:before="360"/>
      <w:outlineLvl w:val="0"/>
    </w:pPr>
    <w:rPr>
      <w:rFonts w:ascii="Arial" w:cs="Arial" w:eastAsia="Arial" w:hAnsi="Arial"/>
      <w:b/>
      <w:bCs/>
      <w:color w:val="1A2E5A"/>
      <w:sz w:val="40"/>
      <w:szCs w:val="40"/>
    </w:rPr>
  </w:style>
  <w:style w:type="paragraph" w:styleId="Heading2">
    <w:name w:val="Heading 2"/>
    <w:basedOn w:val="Normal"/>
    <w:next w:val="Normal"/>
    <w:qFormat/>
    <w:pPr>
      <w:pBdr>
        <w:bottom w:val="single" w:color="E87722" w:sz="4" w:space="4"/>
      </w:pBdr>
      <w:spacing w:after="140" w:before="320"/>
      <w:outlineLvl w:val="1"/>
    </w:pPr>
    <w:rPr>
      <w:rFonts w:ascii="Arial" w:cs="Arial" w:eastAsia="Arial" w:hAnsi="Arial"/>
      <w:b/>
      <w:bCs/>
      <w:color w:val="1A2E5A"/>
      <w:sz w:val="28"/>
      <w:szCs w:val="28"/>
    </w:rPr>
  </w:style>
  <w:style w:type="paragraph" w:styleId="Heading3">
    <w:name w:val="Heading 3"/>
    <w:basedOn w:val="Normal"/>
    <w:next w:val="Normal"/>
    <w:qFormat/>
    <w:pPr>
      <w:spacing w:after="100" w:before="240"/>
      <w:outlineLvl w:val="2"/>
    </w:pPr>
    <w:rPr>
      <w:rFonts w:ascii="Arial" w:cs="Arial" w:eastAsia="Arial" w:hAnsi="Arial"/>
      <w:b/>
      <w:bCs/>
      <w:color w:val="E87722"/>
      <w:sz w:val="24"/>
      <w:szCs w:val="24"/>
    </w:rPr>
  </w:style>
  <w:style w:type="paragraph" w:styleId="BlockQuote">
    <w:name w:val="Block Quote"/>
    <w:basedOn w:val="Normal"/>
    <w:pPr>
      <w:pBdr>
        <w:left w:val="single" w:color="E87722" w:sz="12" w:space="12"/>
      </w:pBdr>
      <w:spacing w:after="200" w:before="200"/>
      <w:ind w:left="720" w:right="720"/>
    </w:pPr>
    <w:rPr>
      <w:rFonts w:ascii="Georgia" w:cs="Georgia" w:eastAsia="Georgia" w:hAnsi="Georgia"/>
      <w:i/>
      <w:iCs/>
      <w:color w:val="1A2E5A"/>
      <w:sz w:val="26"/>
      <w:szCs w:val="26"/>
    </w:rPr>
  </w:style>
  <w:style w:type="paragraph" w:styleId="Caption">
    <w:name w:val="Caption"/>
    <w:basedOn w:val="Normal"/>
    <w:pPr>
      <w:spacing w:after="180" w:before="60"/>
      <w:jc w:val="center"/>
    </w:pPr>
    <w:rPr>
      <w:rFonts w:ascii="Arial" w:cs="Arial" w:eastAsia="Arial" w:hAnsi="Arial"/>
      <w:i/>
      <w:iCs/>
      <w:color w:val="666666"/>
      <w:sz w:val="18"/>
      <w:szCs w:val="18"/>
    </w:rPr>
  </w:style>
  <w:style w:type="paragraph" w:styleId="Code">
    <w:name w:val="Code"/>
    <w:basedOn w:val="Normal"/>
    <w:pPr>
      <w:shd w:fill="F0F3F8" w:val="clear"/>
      <w:spacing w:after="80" w:before="80"/>
      <w:ind w:left="360"/>
    </w:pPr>
    <w:rPr>
      <w:rFonts w:ascii="Courier New" w:cs="Courier New" w:eastAsia="Courier New" w:hAnsi="Courier New"/>
      <w:color w:val="1A1A1A"/>
      <w:sz w:val="18"/>
      <w:szCs w:val="18"/>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image" Target="media/1a3145679cdb8ccdc19e9bf3d3fa364e4f05da62.jpg"/><Relationship Id="rId10" Type="http://schemas.openxmlformats.org/officeDocument/2006/relationships/image" Target="media/c2e1e92e014d221e5f2c5f7cd51ae4a321517c3c.jpg"/><Relationship Id="rId11" Type="http://schemas.openxmlformats.org/officeDocument/2006/relationships/image" Target="media/640625256713789b078c5c8099ebba18f180da11.jpg"/><Relationship Id="rId12" Type="http://schemas.openxmlformats.org/officeDocument/2006/relationships/image" Target="media/0ade568e72af3607e387e3fb5f20332d258842ee.jpg"/><Relationship Id="rId13"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2026-06-01T13:47:52.357Z</dcterms:created>
  <dcterms:modified xsi:type="dcterms:W3CDTF">2026-06-01T13:47:52.358Z</dcterms:modified>
</cp:coreProperties>
</file>

<file path=docProps/custom.xml><?xml version="1.0" encoding="utf-8"?>
<Properties xmlns="http://schemas.openxmlformats.org/officeDocument/2006/custom-properties" xmlns:vt="http://schemas.openxmlformats.org/officeDocument/2006/docPropsVTypes"/>
</file>